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22" w:rsidRDefault="00D66E22" w:rsidP="00D66E22">
      <w:pPr>
        <w:pStyle w:val="Nadpis1"/>
        <w:spacing w:after="240"/>
        <w:rPr>
          <w:caps/>
          <w:color w:val="000000"/>
          <w:lang w:val="sk-SK"/>
        </w:rPr>
      </w:pPr>
      <w:r>
        <w:rPr>
          <w:caps/>
          <w:lang w:val="sk-SK"/>
        </w:rPr>
        <w:t>Trnavská univerzita v Trnave</w:t>
      </w:r>
    </w:p>
    <w:p w:rsidR="00D66E22" w:rsidRDefault="00D66E22" w:rsidP="00D66E22">
      <w:pPr>
        <w:jc w:val="center"/>
        <w:rPr>
          <w:sz w:val="16"/>
        </w:rPr>
      </w:pPr>
      <w:r>
        <w:rPr>
          <w:sz w:val="24"/>
          <w:szCs w:val="24"/>
          <w:lang w:val="cs-CZ"/>
        </w:rPr>
        <w:object w:dxaOrig="11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4pt" o:ole="" fillcolor="window">
            <v:imagedata r:id="rId5" o:title=""/>
          </v:shape>
          <o:OLEObject Type="Embed" ProgID="CorelPhotoPaint.Image.8" ShapeID="_x0000_i1025" DrawAspect="Content" ObjectID="_1574754732" r:id="rId6"/>
        </w:object>
      </w:r>
    </w:p>
    <w:p w:rsidR="00D66E22" w:rsidRDefault="00D66E22" w:rsidP="00D66E22">
      <w:pPr>
        <w:pStyle w:val="Zkladntext"/>
        <w:spacing w:before="240"/>
        <w:ind w:firstLine="0"/>
        <w:jc w:val="center"/>
        <w:rPr>
          <w:b/>
          <w:smallCaps/>
          <w:sz w:val="28"/>
          <w:szCs w:val="28"/>
          <w:lang w:val="sk-SK"/>
        </w:rPr>
      </w:pPr>
      <w:r>
        <w:rPr>
          <w:b/>
          <w:smallCaps/>
          <w:sz w:val="28"/>
          <w:szCs w:val="28"/>
          <w:lang w:val="sk-SK"/>
        </w:rPr>
        <w:t>Právnická fakulta</w:t>
      </w:r>
    </w:p>
    <w:p w:rsidR="00D66E22" w:rsidRDefault="00D66E22" w:rsidP="00D66E22">
      <w:pPr>
        <w:pStyle w:val="Zkladntext"/>
        <w:ind w:firstLine="0"/>
        <w:jc w:val="center"/>
        <w:rPr>
          <w:b/>
          <w:smallCaps/>
          <w:sz w:val="28"/>
          <w:szCs w:val="28"/>
        </w:rPr>
      </w:pPr>
    </w:p>
    <w:p w:rsidR="00D66E22" w:rsidRDefault="00D66E22" w:rsidP="00D66E22">
      <w:pPr>
        <w:pStyle w:val="Zkladntext"/>
        <w:ind w:firstLine="0"/>
        <w:jc w:val="center"/>
        <w:rPr>
          <w:b/>
          <w:smallCaps/>
          <w:sz w:val="28"/>
          <w:szCs w:val="28"/>
          <w:lang w:val="sk-SK"/>
        </w:rPr>
      </w:pPr>
      <w:r>
        <w:rPr>
          <w:b/>
          <w:smallCaps/>
          <w:sz w:val="28"/>
          <w:szCs w:val="28"/>
          <w:lang w:val="sk-SK"/>
        </w:rPr>
        <w:t>Katedra medzinárodného práva a európskeho práva</w:t>
      </w:r>
    </w:p>
    <w:p w:rsidR="00D66E22" w:rsidRDefault="00D66E22" w:rsidP="00D66E22">
      <w:pPr>
        <w:pStyle w:val="Zkladntext"/>
        <w:ind w:firstLine="0"/>
        <w:jc w:val="center"/>
        <w:rPr>
          <w:b/>
          <w:smallCaps/>
          <w:sz w:val="28"/>
          <w:szCs w:val="28"/>
          <w:lang w:val="sk-SK"/>
        </w:rPr>
      </w:pPr>
    </w:p>
    <w:p w:rsidR="00711F77" w:rsidRDefault="007C66F9" w:rsidP="00D66E22">
      <w:pPr>
        <w:pStyle w:val="Zkladntext"/>
        <w:ind w:firstLine="0"/>
        <w:jc w:val="center"/>
        <w:rPr>
          <w:b/>
          <w:smallCaps/>
          <w:sz w:val="28"/>
          <w:szCs w:val="28"/>
          <w:lang w:val="sk-SK"/>
        </w:rPr>
      </w:pPr>
      <w:r>
        <w:rPr>
          <w:b/>
          <w:smallCaps/>
          <w:sz w:val="28"/>
          <w:szCs w:val="28"/>
          <w:lang w:val="sk-SK"/>
        </w:rPr>
        <w:t>Otázky na Štátnu</w:t>
      </w:r>
      <w:bookmarkStart w:id="0" w:name="_GoBack"/>
      <w:bookmarkEnd w:id="0"/>
      <w:r w:rsidR="00D66E22">
        <w:rPr>
          <w:b/>
          <w:smallCaps/>
          <w:sz w:val="28"/>
          <w:szCs w:val="28"/>
          <w:lang w:val="sk-SK"/>
        </w:rPr>
        <w:t xml:space="preserve"> skúšku z predmetu </w:t>
      </w:r>
    </w:p>
    <w:p w:rsidR="00D66E22" w:rsidRDefault="00D66E22" w:rsidP="00D66E22">
      <w:pPr>
        <w:pStyle w:val="Zkladntext"/>
        <w:ind w:firstLine="0"/>
        <w:jc w:val="center"/>
        <w:rPr>
          <w:b/>
          <w:smallCaps/>
          <w:sz w:val="28"/>
          <w:szCs w:val="28"/>
          <w:lang w:val="sk-SK"/>
        </w:rPr>
      </w:pPr>
      <w:r>
        <w:rPr>
          <w:b/>
          <w:smallCaps/>
          <w:sz w:val="28"/>
          <w:szCs w:val="28"/>
          <w:lang w:val="sk-SK"/>
        </w:rPr>
        <w:t>Európske právo</w:t>
      </w:r>
    </w:p>
    <w:p w:rsidR="00D66E22" w:rsidRDefault="00D66E22" w:rsidP="00D66E22">
      <w:pPr>
        <w:pStyle w:val="Zkladntext"/>
        <w:ind w:firstLine="0"/>
        <w:jc w:val="center"/>
        <w:rPr>
          <w:b/>
          <w:smallCaps/>
          <w:sz w:val="28"/>
          <w:szCs w:val="28"/>
          <w:lang w:val="sk-SK"/>
        </w:rPr>
      </w:pPr>
    </w:p>
    <w:p w:rsidR="00D66E22" w:rsidRPr="00D66E22" w:rsidRDefault="00D66E22" w:rsidP="00D66E22">
      <w:pPr>
        <w:pStyle w:val="Zkladntext"/>
        <w:spacing w:line="360" w:lineRule="auto"/>
        <w:ind w:firstLine="0"/>
        <w:jc w:val="center"/>
        <w:rPr>
          <w:b/>
          <w:smallCaps/>
          <w:sz w:val="36"/>
          <w:szCs w:val="28"/>
          <w:lang w:val="sk-SK"/>
        </w:rPr>
      </w:pP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1. Pojem „právo Európskej únie“ a vzťah práva Európskej únie k medzinárodnému právu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a vnútroštátnemu právu.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2. Štruktúra práva Európskej únie.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3. Členstvo v Európskej únii. Vznik a zánik členstva v Európskej únii.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4. Podstata a účel prechodných výnimiek z viazanosti právom Európskej únie.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5. Princíp legality, subsidiarity a proporcionality.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6. Občianstvo Európskej únie. Práva a povinnosti občanov Európskej únie.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7. Postavenie, právomoci a zloženie inštitúcií Európskej únie (Európska rada, Rada,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Komisia, Európsky parlament, Súdny dvor Európskej únie).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8. Systém prameňov práva Európskej únie.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9. Povaha a systém práva Európskej únie. Systémové vlastnosti práva Európskej únie.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10. Bezprostredný účinok smerníc.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11. Právne základy hospodárskej a menovej únie. Zavedenie meny euro v Slovenskej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republike.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12. Súdny systém Európskej únie. Zloženie a význam Súdneho dvora Európskej únie.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13. Konanie o predbežnej otázke.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14. Konanie o porušení zmlúv členským štátom.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15. Konanie o neplatnosť aktu vydaného orgánom Európskej únie.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16. Konanie o žalobe na nečinnosť orgánu Európskej únie.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17. Definícia vnútorného trhu a jeho právna úprava v primárnom práve Európskej únie.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18. Právna úprava voľného pohybu tovaru.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19. Právna úprava voľného pohybu osôb.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lastRenderedPageBreak/>
        <w:t>20. Právna úprava voľného pohybu služieb. Voľný pohyb právnych služieb.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21. Právna úprava voľného pohybu pracovníkov.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22. Dohody obmedzujúce hospodársku súťaž a právne následky porušenia zákazu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uvedeného v článku 101 ods. 1 Zmluvy o fungovaní Európskej únie.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23. Právna úprava zákazu zneužívania dominantného postavenia podľa článku 102 Zmluvy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o fungovaní Európskej únie.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24. Právna úprava kontroly koncentrácií v súťažnom práve Európskej únie.</w:t>
      </w:r>
    </w:p>
    <w:p w:rsidR="00D66E22" w:rsidRPr="00D66E22" w:rsidRDefault="00D66E22" w:rsidP="00D66E2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D66E22">
        <w:rPr>
          <w:sz w:val="24"/>
        </w:rPr>
        <w:t>25. Pravidlá poskytovania štátnej pomoci v práve Európskej únie.</w:t>
      </w:r>
    </w:p>
    <w:sectPr w:rsidR="00D66E22" w:rsidRPr="00D6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22"/>
    <w:rsid w:val="00711F77"/>
    <w:rsid w:val="007C66F9"/>
    <w:rsid w:val="00D6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6E22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6E22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D66E22"/>
    <w:pPr>
      <w:ind w:firstLine="709"/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66E22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6E22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6E22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D66E22"/>
    <w:pPr>
      <w:ind w:firstLine="709"/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66E22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Doktorandi</dc:creator>
  <cp:keywords/>
  <dc:description/>
  <cp:lastModifiedBy>Doktorandi</cp:lastModifiedBy>
  <cp:revision>2</cp:revision>
  <dcterms:created xsi:type="dcterms:W3CDTF">2017-12-12T15:21:00Z</dcterms:created>
  <dcterms:modified xsi:type="dcterms:W3CDTF">2017-12-14T10:06:00Z</dcterms:modified>
</cp:coreProperties>
</file>