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1CDF" w14:textId="77777777" w:rsidR="00A52C41" w:rsidRPr="00A52C41" w:rsidRDefault="00DC45C9" w:rsidP="00A52C4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52C41">
        <w:rPr>
          <w:rFonts w:ascii="Times New Roman" w:hAnsi="Times New Roman" w:cs="Times New Roman"/>
          <w:b/>
          <w:sz w:val="32"/>
          <w:szCs w:val="32"/>
          <w:u w:val="single"/>
        </w:rPr>
        <w:t xml:space="preserve">Klinika migračného práva II. </w:t>
      </w:r>
    </w:p>
    <w:p w14:paraId="31745C66" w14:textId="77777777" w:rsidR="00DC45C9" w:rsidRPr="00A52C41" w:rsidRDefault="00DC45C9" w:rsidP="00A52C4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Prechodný pobyt</w:t>
      </w:r>
      <w:r w:rsidR="00A52C41" w:rsidRPr="00A52C41">
        <w:rPr>
          <w:rFonts w:ascii="Times New Roman" w:hAnsi="Times New Roman"/>
          <w:b/>
          <w:sz w:val="24"/>
          <w:szCs w:val="24"/>
        </w:rPr>
        <w:t>;</w:t>
      </w:r>
    </w:p>
    <w:p w14:paraId="5809702C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Účely prechodného pobytu (podnikanie, zamestnanie, štúdium a iné), Modrá karta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7D212DE2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Žiadosť o udelenie prechodného pobytu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7CEA3880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Rozhodnutia vo veciach prechodného pobytu, </w:t>
      </w:r>
    </w:p>
    <w:p w14:paraId="40867B04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Zánik a zrušenie prechodného pobytu.</w:t>
      </w:r>
    </w:p>
    <w:p w14:paraId="022A0D51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</w:rPr>
      </w:pPr>
    </w:p>
    <w:p w14:paraId="224D8D22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Trvalý pobyt</w:t>
      </w:r>
      <w:r w:rsidRPr="00A52C41">
        <w:rPr>
          <w:rFonts w:ascii="Times New Roman" w:hAnsi="Times New Roman"/>
          <w:b/>
          <w:sz w:val="24"/>
          <w:szCs w:val="24"/>
        </w:rPr>
        <w:t>;</w:t>
      </w:r>
    </w:p>
    <w:p w14:paraId="142C0761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Typy trvalých pobytov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7823DD4A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Trvalý pobyt na päť rokov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12ED63E9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Trvalý pobyt na neobmedzený čas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381E9712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Zánik a zrušenie jednotlivých trvalých pobytov.</w:t>
      </w:r>
    </w:p>
    <w:p w14:paraId="08965493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</w:rPr>
      </w:pPr>
    </w:p>
    <w:p w14:paraId="0A374660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Dlhodobý pobyt</w:t>
      </w:r>
      <w:r w:rsidRPr="00A52C41">
        <w:rPr>
          <w:rFonts w:ascii="Times New Roman" w:hAnsi="Times New Roman"/>
          <w:sz w:val="24"/>
          <w:szCs w:val="24"/>
        </w:rPr>
        <w:t>;</w:t>
      </w:r>
    </w:p>
    <w:p w14:paraId="0593827B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Oprávnenie na dlhodobý pobyt,</w:t>
      </w:r>
    </w:p>
    <w:p w14:paraId="0701659B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Žiadosť o udelenie dlhodobého pobytu;</w:t>
      </w:r>
    </w:p>
    <w:p w14:paraId="5BA39245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Rozhodovanie o dlhodobom pobyte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2D2F4C4A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Zánik a zrušenie dlhodobého pobytu.</w:t>
      </w:r>
    </w:p>
    <w:p w14:paraId="0A8E89F4" w14:textId="77777777" w:rsidR="00DC45C9" w:rsidRPr="00A52C41" w:rsidRDefault="00DC45C9" w:rsidP="00DC45C9">
      <w:pPr>
        <w:spacing w:after="0"/>
        <w:jc w:val="both"/>
        <w:rPr>
          <w:rFonts w:ascii="Times New Roman" w:hAnsi="Times New Roman" w:cs="Times New Roman"/>
          <w:i/>
        </w:rPr>
      </w:pPr>
    </w:p>
    <w:p w14:paraId="194F0BAB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Tolerovaný pobyt</w:t>
      </w:r>
      <w:r w:rsidRPr="00A52C41">
        <w:rPr>
          <w:rFonts w:ascii="Times New Roman" w:hAnsi="Times New Roman"/>
          <w:b/>
          <w:sz w:val="24"/>
          <w:szCs w:val="24"/>
        </w:rPr>
        <w:t>;</w:t>
      </w:r>
    </w:p>
    <w:p w14:paraId="087F512D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Oprávnenie na tolerovaný pobyt;</w:t>
      </w:r>
    </w:p>
    <w:p w14:paraId="1759EBB7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Žiadosť o udelenie tolerovaného pobytu;</w:t>
      </w:r>
    </w:p>
    <w:p w14:paraId="6FB48014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Rozhodovanie o tolerovanom pobyte</w:t>
      </w:r>
      <w:r w:rsidRPr="00A52C41">
        <w:rPr>
          <w:rFonts w:ascii="Times New Roman" w:hAnsi="Times New Roman"/>
          <w:i/>
          <w:sz w:val="24"/>
          <w:szCs w:val="24"/>
        </w:rPr>
        <w:t>;</w:t>
      </w:r>
    </w:p>
    <w:p w14:paraId="7AA26CBC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Zánik a zrušenie tolerovaného pobytu.</w:t>
      </w:r>
    </w:p>
    <w:p w14:paraId="443250AC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</w:rPr>
      </w:pPr>
    </w:p>
    <w:p w14:paraId="594DB15F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Maloletí cudzinci bez sprievodu (MBS);</w:t>
      </w:r>
    </w:p>
    <w:p w14:paraId="149A7004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Postup pri nájdení MBS na území SR;</w:t>
      </w:r>
    </w:p>
    <w:p w14:paraId="03C80F84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Rozhodovanie o umiestnení MBS do zariadení sociálnoprávnej ochrany a sociálnoprávnej kurately;</w:t>
      </w:r>
    </w:p>
    <w:p w14:paraId="2D07E810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Úprava pobytu MBS;</w:t>
      </w:r>
    </w:p>
    <w:p w14:paraId="235E6EA1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MBS a konanie o azyle.</w:t>
      </w:r>
    </w:p>
    <w:p w14:paraId="78C6CE88" w14:textId="77777777" w:rsidR="00DC45C9" w:rsidRPr="00A52C41" w:rsidRDefault="00DC45C9" w:rsidP="00DC45C9">
      <w:pPr>
        <w:pStyle w:val="Odsekzoznamu"/>
        <w:spacing w:after="0"/>
        <w:jc w:val="both"/>
        <w:rPr>
          <w:rFonts w:ascii="Times New Roman" w:hAnsi="Times New Roman"/>
          <w:i/>
        </w:rPr>
      </w:pPr>
    </w:p>
    <w:p w14:paraId="7DEE3283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Organizácie poskytujúce pomoc štátnym príslušníkom tretích krajín;</w:t>
      </w:r>
    </w:p>
    <w:p w14:paraId="3614B637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Medzinárodné organizácie: UNHCR, IOM</w:t>
      </w:r>
      <w:r w:rsidR="00057378">
        <w:rPr>
          <w:rFonts w:ascii="Times New Roman" w:hAnsi="Times New Roman"/>
          <w:i/>
        </w:rPr>
        <w:t>, ÚHCP</w:t>
      </w:r>
      <w:r w:rsidR="00057378" w:rsidRPr="00A52C41">
        <w:rPr>
          <w:rFonts w:ascii="Times New Roman" w:hAnsi="Times New Roman"/>
          <w:i/>
        </w:rPr>
        <w:t>;</w:t>
      </w:r>
    </w:p>
    <w:p w14:paraId="539F21BD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Štátne inštitúcie: Úrad hraničnej a cudzineckej polície Prezídia Policajného zboru, Migračný úrad Ministerstva vnútra Slovenskej republiky;</w:t>
      </w:r>
    </w:p>
    <w:p w14:paraId="1ADE2D9F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Mimovládne organizácie;</w:t>
      </w:r>
    </w:p>
    <w:p w14:paraId="5888FE0F" w14:textId="77777777" w:rsidR="00DC45C9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Iné: súdy, Kancelária verejného ochranu práv a pod.</w:t>
      </w:r>
    </w:p>
    <w:p w14:paraId="1A87625D" w14:textId="77777777" w:rsidR="00057378" w:rsidRDefault="00057378" w:rsidP="00057378">
      <w:pPr>
        <w:pStyle w:val="Odsekzoznamu"/>
        <w:spacing w:after="0"/>
        <w:ind w:left="1440"/>
        <w:jc w:val="both"/>
        <w:rPr>
          <w:rFonts w:ascii="Times New Roman" w:hAnsi="Times New Roman"/>
          <w:i/>
        </w:rPr>
      </w:pPr>
    </w:p>
    <w:p w14:paraId="56D54640" w14:textId="77777777" w:rsidR="00057378" w:rsidRPr="00057378" w:rsidRDefault="00057378" w:rsidP="0005737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057378">
        <w:rPr>
          <w:rFonts w:ascii="Times New Roman" w:hAnsi="Times New Roman"/>
          <w:b/>
        </w:rPr>
        <w:t>Štátne občianstvo SR;</w:t>
      </w:r>
    </w:p>
    <w:p w14:paraId="4EF4F57E" w14:textId="77777777" w:rsidR="00057378" w:rsidRDefault="00057378" w:rsidP="00057378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Spôsoby nadobúdania štátneho občianstva</w:t>
      </w:r>
      <w:r w:rsidRPr="00A52C41">
        <w:rPr>
          <w:rFonts w:ascii="Times New Roman" w:hAnsi="Times New Roman"/>
          <w:i/>
        </w:rPr>
        <w:t>;</w:t>
      </w:r>
    </w:p>
    <w:p w14:paraId="267AC05C" w14:textId="77777777" w:rsidR="00057378" w:rsidRDefault="00057378" w:rsidP="00057378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Žiadosť o udelenie štátneho občianstva</w:t>
      </w:r>
      <w:r w:rsidRPr="00A52C41">
        <w:rPr>
          <w:rFonts w:ascii="Times New Roman" w:hAnsi="Times New Roman"/>
          <w:i/>
        </w:rPr>
        <w:t>;</w:t>
      </w:r>
    </w:p>
    <w:p w14:paraId="4E325E3D" w14:textId="77777777" w:rsidR="00057378" w:rsidRDefault="00057378" w:rsidP="00057378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Opravné prostriedky a judikatúra súdov vo veciach štátneho občianstva</w:t>
      </w:r>
      <w:r w:rsidRPr="00A52C41">
        <w:rPr>
          <w:rFonts w:ascii="Times New Roman" w:hAnsi="Times New Roman"/>
          <w:i/>
        </w:rPr>
        <w:t>;</w:t>
      </w:r>
    </w:p>
    <w:p w14:paraId="7D563BAC" w14:textId="77777777" w:rsidR="00057378" w:rsidRPr="00A52C41" w:rsidRDefault="00057378" w:rsidP="00057378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Výnimky pri udeľovaní štátneho občianstva.</w:t>
      </w:r>
    </w:p>
    <w:p w14:paraId="703C3CCD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</w:rPr>
      </w:pPr>
    </w:p>
    <w:p w14:paraId="51F58653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Zariadenia slúžiace na umiestňovanie štátnych príslušníkov tretích krajín;</w:t>
      </w:r>
    </w:p>
    <w:p w14:paraId="532EEFC0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Útvary policajného zaistenia pre cudzincov;</w:t>
      </w:r>
    </w:p>
    <w:p w14:paraId="4AB06B2C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Záchytný tábor;</w:t>
      </w:r>
    </w:p>
    <w:p w14:paraId="6D0C4954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Pobytový tábor;</w:t>
      </w:r>
    </w:p>
    <w:p w14:paraId="0B660D43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lastRenderedPageBreak/>
        <w:t>Integračné stredisko.</w:t>
      </w:r>
    </w:p>
    <w:p w14:paraId="65176C79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</w:rPr>
      </w:pPr>
    </w:p>
    <w:p w14:paraId="4EA95372" w14:textId="709ED9E3" w:rsidR="00DC45C9" w:rsidRPr="00A52C41" w:rsidRDefault="00DC45C9" w:rsidP="00A52C4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 xml:space="preserve">Judikatúra Najvyššieho </w:t>
      </w:r>
      <w:r w:rsidR="001C4BA5">
        <w:rPr>
          <w:rFonts w:ascii="Times New Roman" w:hAnsi="Times New Roman"/>
          <w:b/>
        </w:rPr>
        <w:t xml:space="preserve">správneho </w:t>
      </w:r>
      <w:r w:rsidRPr="00A52C41">
        <w:rPr>
          <w:rFonts w:ascii="Times New Roman" w:hAnsi="Times New Roman"/>
          <w:b/>
        </w:rPr>
        <w:t>súdu SR</w:t>
      </w:r>
      <w:r w:rsidR="001C4BA5">
        <w:rPr>
          <w:rFonts w:ascii="Times New Roman" w:hAnsi="Times New Roman"/>
          <w:b/>
        </w:rPr>
        <w:t>/Najvyššieho súdu SR</w:t>
      </w:r>
      <w:r w:rsidRPr="00A52C41">
        <w:rPr>
          <w:rFonts w:ascii="Times New Roman" w:hAnsi="Times New Roman"/>
          <w:b/>
        </w:rPr>
        <w:t xml:space="preserve"> v cudzineckých veciach</w:t>
      </w:r>
      <w:r w:rsidR="00A52C41" w:rsidRPr="00A52C41">
        <w:rPr>
          <w:rFonts w:ascii="Times New Roman" w:hAnsi="Times New Roman"/>
          <w:b/>
        </w:rPr>
        <w:t>;</w:t>
      </w:r>
    </w:p>
    <w:p w14:paraId="50F30F0F" w14:textId="3775AE80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Konanie pred Najvyšším </w:t>
      </w:r>
      <w:r w:rsidR="001C4BA5">
        <w:rPr>
          <w:rFonts w:ascii="Times New Roman" w:hAnsi="Times New Roman"/>
          <w:i/>
        </w:rPr>
        <w:t xml:space="preserve">správnym </w:t>
      </w:r>
      <w:r w:rsidRPr="00A52C41">
        <w:rPr>
          <w:rFonts w:ascii="Times New Roman" w:hAnsi="Times New Roman"/>
          <w:i/>
        </w:rPr>
        <w:t>súdom SR,</w:t>
      </w:r>
    </w:p>
    <w:p w14:paraId="179599B4" w14:textId="6B01A47D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Judikatúra Najvyššieho </w:t>
      </w:r>
      <w:r w:rsidR="001C4BA5">
        <w:rPr>
          <w:rFonts w:ascii="Times New Roman" w:hAnsi="Times New Roman"/>
          <w:i/>
        </w:rPr>
        <w:t xml:space="preserve">správneho </w:t>
      </w:r>
      <w:r w:rsidRPr="00A52C41">
        <w:rPr>
          <w:rFonts w:ascii="Times New Roman" w:hAnsi="Times New Roman"/>
          <w:i/>
        </w:rPr>
        <w:t>súdu SR</w:t>
      </w:r>
      <w:r w:rsidR="001C4BA5">
        <w:rPr>
          <w:rFonts w:ascii="Times New Roman" w:hAnsi="Times New Roman"/>
          <w:i/>
        </w:rPr>
        <w:t>/Najvyššieho súdu SR</w:t>
      </w:r>
      <w:r w:rsidRPr="00A52C41">
        <w:rPr>
          <w:rFonts w:ascii="Times New Roman" w:hAnsi="Times New Roman"/>
          <w:i/>
        </w:rPr>
        <w:t>.</w:t>
      </w:r>
    </w:p>
    <w:p w14:paraId="61364D67" w14:textId="77777777" w:rsidR="00DC45C9" w:rsidRPr="00A52C41" w:rsidRDefault="00DC45C9" w:rsidP="00DC45C9">
      <w:pPr>
        <w:pStyle w:val="Odsekzoznamu"/>
        <w:spacing w:after="0"/>
        <w:jc w:val="both"/>
        <w:rPr>
          <w:rFonts w:ascii="Times New Roman" w:hAnsi="Times New Roman"/>
          <w:b/>
          <w:i/>
        </w:rPr>
      </w:pPr>
    </w:p>
    <w:p w14:paraId="7B445F67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Judikatúra Európskeho súdu pre ľudské práva v cudzineckých veciach;</w:t>
      </w:r>
    </w:p>
    <w:p w14:paraId="090CDD58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Článok 3: </w:t>
      </w:r>
      <w:proofErr w:type="spellStart"/>
      <w:r w:rsidRPr="00A52C41">
        <w:rPr>
          <w:rFonts w:ascii="Times New Roman" w:hAnsi="Times New Roman"/>
          <w:i/>
        </w:rPr>
        <w:t>Sufi</w:t>
      </w:r>
      <w:proofErr w:type="spellEnd"/>
      <w:r w:rsidRPr="00A52C41">
        <w:rPr>
          <w:rFonts w:ascii="Times New Roman" w:hAnsi="Times New Roman"/>
          <w:i/>
        </w:rPr>
        <w:t xml:space="preserve"> and </w:t>
      </w:r>
      <w:proofErr w:type="spellStart"/>
      <w:r w:rsidRPr="00A52C41">
        <w:rPr>
          <w:rFonts w:ascii="Times New Roman" w:hAnsi="Times New Roman"/>
          <w:i/>
        </w:rPr>
        <w:t>Elmi</w:t>
      </w:r>
      <w:proofErr w:type="spellEnd"/>
      <w:r w:rsidRPr="00A52C41">
        <w:rPr>
          <w:rFonts w:ascii="Times New Roman" w:hAnsi="Times New Roman"/>
          <w:i/>
        </w:rPr>
        <w:t xml:space="preserve"> proti Veľkej Británii;</w:t>
      </w:r>
    </w:p>
    <w:p w14:paraId="4D94343D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N proti Švédsku, </w:t>
      </w:r>
      <w:proofErr w:type="spellStart"/>
      <w:r w:rsidRPr="00A52C41">
        <w:rPr>
          <w:rFonts w:ascii="Times New Roman" w:hAnsi="Times New Roman"/>
          <w:i/>
        </w:rPr>
        <w:t>Salah</w:t>
      </w:r>
      <w:proofErr w:type="spellEnd"/>
      <w:r w:rsidRPr="00A52C41">
        <w:rPr>
          <w:rFonts w:ascii="Times New Roman" w:hAnsi="Times New Roman"/>
          <w:i/>
        </w:rPr>
        <w:t xml:space="preserve"> </w:t>
      </w:r>
      <w:proofErr w:type="spellStart"/>
      <w:r w:rsidRPr="00A52C41">
        <w:rPr>
          <w:rFonts w:ascii="Times New Roman" w:hAnsi="Times New Roman"/>
          <w:i/>
        </w:rPr>
        <w:t>Sheekh</w:t>
      </w:r>
      <w:proofErr w:type="spellEnd"/>
      <w:r w:rsidRPr="00A52C41">
        <w:rPr>
          <w:rFonts w:ascii="Times New Roman" w:hAnsi="Times New Roman"/>
          <w:i/>
        </w:rPr>
        <w:t xml:space="preserve"> proti Holandsku;</w:t>
      </w:r>
    </w:p>
    <w:p w14:paraId="49A4D5A3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H.L.R. proti Francúzsku;</w:t>
      </w:r>
    </w:p>
    <w:p w14:paraId="53A4A102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proofErr w:type="spellStart"/>
      <w:r w:rsidRPr="00A52C41">
        <w:rPr>
          <w:rFonts w:ascii="Times New Roman" w:hAnsi="Times New Roman"/>
          <w:i/>
        </w:rPr>
        <w:t>Soering</w:t>
      </w:r>
      <w:proofErr w:type="spellEnd"/>
      <w:r w:rsidRPr="00A52C41">
        <w:rPr>
          <w:rFonts w:ascii="Times New Roman" w:hAnsi="Times New Roman"/>
          <w:i/>
        </w:rPr>
        <w:t xml:space="preserve"> proti Veľkej Británii.</w:t>
      </w:r>
    </w:p>
    <w:p w14:paraId="6DC1BEE9" w14:textId="77777777" w:rsidR="00DC45C9" w:rsidRPr="00A52C41" w:rsidRDefault="00DC45C9" w:rsidP="00DC45C9">
      <w:pPr>
        <w:spacing w:after="0"/>
        <w:jc w:val="both"/>
        <w:rPr>
          <w:rFonts w:ascii="Times New Roman" w:hAnsi="Times New Roman" w:cs="Times New Roman"/>
          <w:i/>
        </w:rPr>
      </w:pPr>
    </w:p>
    <w:p w14:paraId="3CC5F425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A52C41">
        <w:rPr>
          <w:rFonts w:ascii="Times New Roman" w:hAnsi="Times New Roman"/>
          <w:b/>
        </w:rPr>
        <w:t>Judikatúra Súdneho dvora Európskej únie v cudzineckých veciach;</w:t>
      </w:r>
    </w:p>
    <w:p w14:paraId="113400E4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>CJEU-C-585/16 Alheto;</w:t>
      </w:r>
    </w:p>
    <w:p w14:paraId="1312EF51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CJEU-C-364/11 El </w:t>
      </w:r>
      <w:proofErr w:type="spellStart"/>
      <w:r w:rsidRPr="00A52C41">
        <w:rPr>
          <w:rFonts w:ascii="Times New Roman" w:hAnsi="Times New Roman"/>
          <w:i/>
        </w:rPr>
        <w:t>Kott</w:t>
      </w:r>
      <w:proofErr w:type="spellEnd"/>
      <w:r w:rsidRPr="00A52C41">
        <w:rPr>
          <w:rFonts w:ascii="Times New Roman" w:hAnsi="Times New Roman"/>
          <w:i/>
        </w:rPr>
        <w:t>;</w:t>
      </w:r>
    </w:p>
    <w:p w14:paraId="5873AAA6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CJEU-C357/09 </w:t>
      </w:r>
      <w:proofErr w:type="spellStart"/>
      <w:r w:rsidRPr="00A52C41">
        <w:rPr>
          <w:rFonts w:ascii="Times New Roman" w:hAnsi="Times New Roman"/>
          <w:i/>
        </w:rPr>
        <w:t>Said</w:t>
      </w:r>
      <w:proofErr w:type="spellEnd"/>
      <w:r w:rsidRPr="00A52C41">
        <w:rPr>
          <w:rFonts w:ascii="Times New Roman" w:hAnsi="Times New Roman"/>
          <w:i/>
        </w:rPr>
        <w:t xml:space="preserve"> </w:t>
      </w:r>
      <w:proofErr w:type="spellStart"/>
      <w:r w:rsidRPr="00A52C41">
        <w:rPr>
          <w:rFonts w:ascii="Times New Roman" w:hAnsi="Times New Roman"/>
          <w:i/>
        </w:rPr>
        <w:t>Šamilovič</w:t>
      </w:r>
      <w:proofErr w:type="spellEnd"/>
      <w:r w:rsidRPr="00A52C41">
        <w:rPr>
          <w:rFonts w:ascii="Times New Roman" w:hAnsi="Times New Roman"/>
          <w:i/>
        </w:rPr>
        <w:t xml:space="preserve"> </w:t>
      </w:r>
      <w:proofErr w:type="spellStart"/>
      <w:r w:rsidRPr="00A52C41">
        <w:rPr>
          <w:rFonts w:ascii="Times New Roman" w:hAnsi="Times New Roman"/>
          <w:i/>
        </w:rPr>
        <w:t>Kadzojev</w:t>
      </w:r>
      <w:proofErr w:type="spellEnd"/>
      <w:r w:rsidRPr="00A52C41">
        <w:rPr>
          <w:rFonts w:ascii="Times New Roman" w:hAnsi="Times New Roman"/>
          <w:i/>
        </w:rPr>
        <w:t>;</w:t>
      </w:r>
    </w:p>
    <w:p w14:paraId="6866934B" w14:textId="77777777" w:rsidR="00DC45C9" w:rsidRPr="00A52C41" w:rsidRDefault="00DC45C9" w:rsidP="00DC45C9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  <w:i/>
        </w:rPr>
      </w:pPr>
      <w:r w:rsidRPr="00A52C41">
        <w:rPr>
          <w:rFonts w:ascii="Times New Roman" w:hAnsi="Times New Roman"/>
          <w:i/>
        </w:rPr>
        <w:t xml:space="preserve">CJEU-C-61/11 </w:t>
      </w:r>
      <w:proofErr w:type="spellStart"/>
      <w:r w:rsidRPr="00A52C41">
        <w:rPr>
          <w:rFonts w:ascii="Times New Roman" w:hAnsi="Times New Roman"/>
          <w:i/>
        </w:rPr>
        <w:t>Hassen</w:t>
      </w:r>
      <w:proofErr w:type="spellEnd"/>
      <w:r w:rsidRPr="00A52C41">
        <w:rPr>
          <w:rFonts w:ascii="Times New Roman" w:hAnsi="Times New Roman"/>
          <w:i/>
        </w:rPr>
        <w:t xml:space="preserve"> El </w:t>
      </w:r>
      <w:proofErr w:type="spellStart"/>
      <w:r w:rsidRPr="00A52C41">
        <w:rPr>
          <w:rFonts w:ascii="Times New Roman" w:hAnsi="Times New Roman"/>
          <w:i/>
        </w:rPr>
        <w:t>Dridi</w:t>
      </w:r>
      <w:proofErr w:type="spellEnd"/>
      <w:r w:rsidRPr="00A52C41">
        <w:rPr>
          <w:rFonts w:ascii="Times New Roman" w:hAnsi="Times New Roman"/>
          <w:i/>
        </w:rPr>
        <w:t>.</w:t>
      </w:r>
    </w:p>
    <w:p w14:paraId="422DA127" w14:textId="77777777" w:rsidR="00DC45C9" w:rsidRPr="00A52C41" w:rsidRDefault="00DC45C9" w:rsidP="00DC45C9">
      <w:pPr>
        <w:spacing w:after="0"/>
        <w:jc w:val="both"/>
        <w:rPr>
          <w:rFonts w:ascii="Times New Roman" w:hAnsi="Times New Roman" w:cs="Times New Roman"/>
          <w:i/>
        </w:rPr>
      </w:pPr>
    </w:p>
    <w:p w14:paraId="6B8C2723" w14:textId="77777777" w:rsidR="00DC45C9" w:rsidRPr="00A52C41" w:rsidRDefault="00DC45C9" w:rsidP="00DC45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</w:rPr>
      </w:pPr>
      <w:r w:rsidRPr="00A52C41">
        <w:rPr>
          <w:rFonts w:ascii="Times New Roman" w:hAnsi="Times New Roman"/>
          <w:b/>
          <w:i/>
        </w:rPr>
        <w:t xml:space="preserve">Rekapitulácia </w:t>
      </w:r>
    </w:p>
    <w:p w14:paraId="7AC65EF9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27368100" w14:textId="77777777" w:rsidR="00DC45C9" w:rsidRPr="00A52C41" w:rsidRDefault="00DC45C9" w:rsidP="00DC45C9">
      <w:pPr>
        <w:pStyle w:val="Odsekzoznamu"/>
        <w:spacing w:after="0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p w14:paraId="70FFB14B" w14:textId="77777777" w:rsidR="00DC45C9" w:rsidRPr="00A52C41" w:rsidRDefault="00DC45C9" w:rsidP="00DC45C9">
      <w:pPr>
        <w:tabs>
          <w:tab w:val="left" w:pos="2750"/>
        </w:tabs>
        <w:rPr>
          <w:rFonts w:ascii="Times New Roman" w:hAnsi="Times New Roman" w:cs="Times New Roman"/>
        </w:rPr>
      </w:pPr>
    </w:p>
    <w:p w14:paraId="1C41715A" w14:textId="77777777" w:rsidR="00280461" w:rsidRPr="00A52C41" w:rsidRDefault="00280461" w:rsidP="0059593B">
      <w:pPr>
        <w:tabs>
          <w:tab w:val="left" w:pos="2750"/>
        </w:tabs>
        <w:rPr>
          <w:rFonts w:ascii="Times New Roman" w:hAnsi="Times New Roman" w:cs="Times New Roman"/>
        </w:rPr>
      </w:pPr>
    </w:p>
    <w:sectPr w:rsidR="00280461" w:rsidRPr="00A52C41" w:rsidSect="00F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5605"/>
    <w:multiLevelType w:val="hybridMultilevel"/>
    <w:tmpl w:val="AC3C1D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9558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B"/>
    <w:rsid w:val="0000300F"/>
    <w:rsid w:val="00054FB6"/>
    <w:rsid w:val="00057378"/>
    <w:rsid w:val="000730CC"/>
    <w:rsid w:val="001C4BA5"/>
    <w:rsid w:val="001D0DB5"/>
    <w:rsid w:val="00213F30"/>
    <w:rsid w:val="002545CD"/>
    <w:rsid w:val="00265F9D"/>
    <w:rsid w:val="00280461"/>
    <w:rsid w:val="00407EA5"/>
    <w:rsid w:val="0059593B"/>
    <w:rsid w:val="005E50F0"/>
    <w:rsid w:val="006F0E4A"/>
    <w:rsid w:val="00833B58"/>
    <w:rsid w:val="008418EF"/>
    <w:rsid w:val="008B19DD"/>
    <w:rsid w:val="00943A0E"/>
    <w:rsid w:val="009D34C8"/>
    <w:rsid w:val="00A4594B"/>
    <w:rsid w:val="00A52C41"/>
    <w:rsid w:val="00A81220"/>
    <w:rsid w:val="00D30AAF"/>
    <w:rsid w:val="00DC45C9"/>
    <w:rsid w:val="00EB452B"/>
    <w:rsid w:val="00FA17F3"/>
    <w:rsid w:val="00F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0C6F9"/>
  <w15:docId w15:val="{17E10A00-7415-0748-8315-C718DAA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93B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593B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7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Základy práva verejného obstarávania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Základy práva verejného obstarávania</dc:title>
  <dc:subject/>
  <dc:creator>Miroslava Mittelmanova</dc:creator>
  <cp:keywords/>
  <dc:description/>
  <cp:lastModifiedBy>Mittelmannová Miroslava</cp:lastModifiedBy>
  <cp:revision>3</cp:revision>
  <dcterms:created xsi:type="dcterms:W3CDTF">2025-10-07T20:16:00Z</dcterms:created>
  <dcterms:modified xsi:type="dcterms:W3CDTF">2025-10-07T20:23:00Z</dcterms:modified>
</cp:coreProperties>
</file>