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6071" w14:textId="77777777" w:rsidR="002F2D89" w:rsidRDefault="002F2D89" w:rsidP="008548A0">
      <w:pPr>
        <w:pStyle w:val="Nadpis1"/>
        <w:ind w:left="1416" w:firstLine="708"/>
        <w:jc w:val="both"/>
        <w:rPr>
          <w:caps/>
          <w:smallCaps w:val="0"/>
          <w:color w:val="000000"/>
          <w:sz w:val="32"/>
        </w:rPr>
      </w:pPr>
      <w:r>
        <w:rPr>
          <w:caps/>
          <w:smallCaps w:val="0"/>
          <w:sz w:val="32"/>
        </w:rPr>
        <w:t>Universitas   Tyrnaviensis</w:t>
      </w:r>
    </w:p>
    <w:p w14:paraId="773FAFC8" w14:textId="77777777" w:rsidR="002F2D89" w:rsidRDefault="002F2D89" w:rsidP="002F2D89">
      <w:pPr>
        <w:jc w:val="center"/>
        <w:rPr>
          <w:sz w:val="16"/>
        </w:rPr>
      </w:pPr>
      <w:r>
        <w:object w:dxaOrig="2792" w:dyaOrig="2653" w14:anchorId="57C46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2.75pt" o:ole="" fillcolor="window">
            <v:imagedata r:id="rId4" o:title=""/>
          </v:shape>
          <o:OLEObject Type="Embed" ProgID="CorelPhotoPaint.Image.8" ShapeID="_x0000_i1025" DrawAspect="Content" ObjectID="_1821301461" r:id="rId5"/>
        </w:object>
      </w:r>
    </w:p>
    <w:p w14:paraId="61478F9A" w14:textId="77777777" w:rsidR="002F2D89" w:rsidRPr="00FF04F2" w:rsidRDefault="002F2D89" w:rsidP="002F2D89">
      <w:pPr>
        <w:pStyle w:val="Zkladntext"/>
        <w:ind w:firstLine="0"/>
        <w:jc w:val="center"/>
        <w:rPr>
          <w:b/>
          <w:smallCaps/>
          <w:sz w:val="28"/>
          <w:szCs w:val="28"/>
        </w:rPr>
      </w:pPr>
      <w:proofErr w:type="spellStart"/>
      <w:r w:rsidRPr="00FF04F2">
        <w:rPr>
          <w:b/>
          <w:smallCaps/>
          <w:sz w:val="28"/>
          <w:szCs w:val="28"/>
        </w:rPr>
        <w:t>Facultas</w:t>
      </w:r>
      <w:proofErr w:type="spellEnd"/>
      <w:r w:rsidRPr="00FF04F2">
        <w:rPr>
          <w:b/>
          <w:smallCaps/>
          <w:sz w:val="28"/>
          <w:szCs w:val="28"/>
        </w:rPr>
        <w:t xml:space="preserve">   </w:t>
      </w:r>
      <w:proofErr w:type="spellStart"/>
      <w:r w:rsidRPr="00FF04F2">
        <w:rPr>
          <w:b/>
          <w:smallCaps/>
          <w:sz w:val="28"/>
          <w:szCs w:val="28"/>
        </w:rPr>
        <w:t>Iuridica</w:t>
      </w:r>
      <w:proofErr w:type="spellEnd"/>
    </w:p>
    <w:p w14:paraId="115D0235" w14:textId="77777777" w:rsidR="002F2D89" w:rsidRPr="00FF04F2" w:rsidRDefault="002F2D89" w:rsidP="002F2D89">
      <w:pPr>
        <w:pStyle w:val="Zkladntext"/>
        <w:ind w:firstLine="0"/>
        <w:jc w:val="center"/>
        <w:rPr>
          <w:b/>
          <w:smallCaps/>
          <w:sz w:val="28"/>
          <w:szCs w:val="28"/>
        </w:rPr>
      </w:pPr>
      <w:r w:rsidRPr="00FF04F2">
        <w:rPr>
          <w:b/>
          <w:smallCaps/>
          <w:sz w:val="28"/>
          <w:szCs w:val="28"/>
        </w:rPr>
        <w:t xml:space="preserve">Katedra medzinárodného </w:t>
      </w:r>
      <w:r>
        <w:rPr>
          <w:b/>
          <w:smallCaps/>
          <w:sz w:val="28"/>
          <w:szCs w:val="28"/>
        </w:rPr>
        <w:t xml:space="preserve">práva </w:t>
      </w:r>
      <w:r w:rsidRPr="00FF04F2">
        <w:rPr>
          <w:b/>
          <w:smallCaps/>
          <w:sz w:val="28"/>
          <w:szCs w:val="28"/>
        </w:rPr>
        <w:t>a európskeho práva</w:t>
      </w:r>
    </w:p>
    <w:p w14:paraId="382A5703" w14:textId="77777777" w:rsidR="001A2E18" w:rsidRPr="00D7058B" w:rsidRDefault="001A2E18" w:rsidP="001A2E18">
      <w:pPr>
        <w:spacing w:line="240" w:lineRule="auto"/>
        <w:rPr>
          <w:b/>
          <w:snapToGrid w:val="0"/>
          <w:szCs w:val="24"/>
        </w:rPr>
      </w:pPr>
    </w:p>
    <w:p w14:paraId="4B58EAED" w14:textId="4AD841D8" w:rsidR="001A2E18" w:rsidRPr="001A2E18" w:rsidRDefault="001A2E18" w:rsidP="002B3F11">
      <w:pPr>
        <w:spacing w:line="240" w:lineRule="auto"/>
        <w:jc w:val="center"/>
        <w:rPr>
          <w:snapToGrid w:val="0"/>
          <w:szCs w:val="24"/>
        </w:rPr>
      </w:pPr>
      <w:r>
        <w:rPr>
          <w:b/>
          <w:snapToGrid w:val="0"/>
          <w:szCs w:val="24"/>
        </w:rPr>
        <w:t xml:space="preserve">                                                                                                          </w:t>
      </w:r>
      <w:r w:rsidR="00FD5CD0">
        <w:rPr>
          <w:snapToGrid w:val="0"/>
          <w:szCs w:val="24"/>
        </w:rPr>
        <w:t>2</w:t>
      </w:r>
      <w:r w:rsidR="00A814EE">
        <w:rPr>
          <w:snapToGrid w:val="0"/>
          <w:szCs w:val="24"/>
        </w:rPr>
        <w:t>9</w:t>
      </w:r>
      <w:r w:rsidR="00624619">
        <w:rPr>
          <w:snapToGrid w:val="0"/>
          <w:szCs w:val="24"/>
        </w:rPr>
        <w:t>.09.</w:t>
      </w:r>
      <w:r w:rsidR="00924E85">
        <w:rPr>
          <w:snapToGrid w:val="0"/>
          <w:szCs w:val="24"/>
        </w:rPr>
        <w:t xml:space="preserve"> 20</w:t>
      </w:r>
      <w:r w:rsidR="00CF16F9">
        <w:rPr>
          <w:snapToGrid w:val="0"/>
          <w:szCs w:val="24"/>
        </w:rPr>
        <w:t>2</w:t>
      </w:r>
      <w:r w:rsidR="00685603">
        <w:rPr>
          <w:snapToGrid w:val="0"/>
          <w:szCs w:val="24"/>
        </w:rPr>
        <w:t>5</w:t>
      </w:r>
    </w:p>
    <w:p w14:paraId="2D3961F6" w14:textId="77777777" w:rsidR="001A2E18" w:rsidRDefault="001A2E18" w:rsidP="002B3F11">
      <w:pPr>
        <w:spacing w:line="240" w:lineRule="auto"/>
        <w:jc w:val="center"/>
        <w:rPr>
          <w:b/>
          <w:snapToGrid w:val="0"/>
          <w:szCs w:val="24"/>
        </w:rPr>
      </w:pPr>
    </w:p>
    <w:p w14:paraId="0D6FE85F" w14:textId="77777777" w:rsidR="00A14360" w:rsidRPr="00A14360" w:rsidRDefault="002B3F11" w:rsidP="001A2E18">
      <w:pPr>
        <w:spacing w:line="240" w:lineRule="auto"/>
        <w:jc w:val="center"/>
        <w:rPr>
          <w:b/>
          <w:snapToGrid w:val="0"/>
          <w:szCs w:val="24"/>
        </w:rPr>
      </w:pPr>
      <w:r w:rsidRPr="00A14360">
        <w:rPr>
          <w:b/>
          <w:snapToGrid w:val="0"/>
          <w:szCs w:val="24"/>
        </w:rPr>
        <w:t xml:space="preserve">Zoznam literatúry </w:t>
      </w:r>
      <w:r w:rsidR="00A37E83" w:rsidRPr="00A14360">
        <w:rPr>
          <w:b/>
          <w:snapToGrid w:val="0"/>
          <w:szCs w:val="24"/>
        </w:rPr>
        <w:t>a webových stránok</w:t>
      </w:r>
    </w:p>
    <w:p w14:paraId="19323B5D" w14:textId="77777777" w:rsidR="00A15E1A" w:rsidRDefault="002B3F11" w:rsidP="00A14360">
      <w:pPr>
        <w:spacing w:line="240" w:lineRule="auto"/>
        <w:jc w:val="center"/>
        <w:rPr>
          <w:b/>
          <w:snapToGrid w:val="0"/>
          <w:szCs w:val="24"/>
        </w:rPr>
      </w:pPr>
      <w:r w:rsidRPr="00A14360">
        <w:rPr>
          <w:b/>
          <w:snapToGrid w:val="0"/>
          <w:szCs w:val="24"/>
        </w:rPr>
        <w:t>z</w:t>
      </w:r>
      <w:r w:rsidR="001A2E18" w:rsidRPr="00A14360">
        <w:rPr>
          <w:b/>
          <w:snapToGrid w:val="0"/>
          <w:szCs w:val="24"/>
        </w:rPr>
        <w:t> </w:t>
      </w:r>
      <w:r w:rsidRPr="00A14360">
        <w:rPr>
          <w:b/>
          <w:snapToGrid w:val="0"/>
          <w:szCs w:val="24"/>
        </w:rPr>
        <w:t>predmetu</w:t>
      </w:r>
      <w:r w:rsidR="001A2E18" w:rsidRPr="00A14360">
        <w:rPr>
          <w:b/>
          <w:snapToGrid w:val="0"/>
          <w:szCs w:val="24"/>
        </w:rPr>
        <w:t xml:space="preserve"> „</w:t>
      </w:r>
      <w:r w:rsidRPr="00A14360">
        <w:rPr>
          <w:b/>
          <w:i/>
          <w:snapToGrid w:val="0"/>
          <w:szCs w:val="24"/>
        </w:rPr>
        <w:t>Medzinárodné právo  verejné I</w:t>
      </w:r>
      <w:r w:rsidR="001A2E18" w:rsidRPr="00A14360">
        <w:rPr>
          <w:b/>
          <w:i/>
          <w:snapToGrid w:val="0"/>
          <w:szCs w:val="24"/>
        </w:rPr>
        <w:t>I“</w:t>
      </w:r>
      <w:r w:rsidR="001A2E18" w:rsidRPr="00A14360">
        <w:rPr>
          <w:i/>
          <w:szCs w:val="24"/>
        </w:rPr>
        <w:t xml:space="preserve"> </w:t>
      </w:r>
      <w:r w:rsidR="00A14360" w:rsidRPr="00A14360">
        <w:rPr>
          <w:b/>
          <w:snapToGrid w:val="0"/>
          <w:szCs w:val="24"/>
        </w:rPr>
        <w:t xml:space="preserve"> </w:t>
      </w:r>
    </w:p>
    <w:p w14:paraId="371C10C3" w14:textId="6796ABE9" w:rsidR="001A2E18" w:rsidRPr="00A14360" w:rsidRDefault="001A2E18" w:rsidP="00A14360">
      <w:pPr>
        <w:spacing w:line="240" w:lineRule="auto"/>
        <w:jc w:val="center"/>
        <w:rPr>
          <w:b/>
          <w:snapToGrid w:val="0"/>
          <w:szCs w:val="24"/>
        </w:rPr>
      </w:pPr>
      <w:r w:rsidRPr="00A14360">
        <w:rPr>
          <w:b/>
          <w:szCs w:val="24"/>
        </w:rPr>
        <w:t>letný semester, akademický</w:t>
      </w:r>
      <w:r w:rsidR="00C05A9D">
        <w:rPr>
          <w:b/>
          <w:szCs w:val="24"/>
        </w:rPr>
        <w:t xml:space="preserve"> rok 202</w:t>
      </w:r>
      <w:r w:rsidR="00685603">
        <w:rPr>
          <w:b/>
          <w:szCs w:val="24"/>
        </w:rPr>
        <w:t>5</w:t>
      </w:r>
      <w:r w:rsidR="00924E85">
        <w:rPr>
          <w:b/>
          <w:szCs w:val="24"/>
        </w:rPr>
        <w:t>/20</w:t>
      </w:r>
      <w:r w:rsidR="00CF16F9">
        <w:rPr>
          <w:b/>
          <w:szCs w:val="24"/>
        </w:rPr>
        <w:t>2</w:t>
      </w:r>
      <w:r w:rsidR="00685603">
        <w:rPr>
          <w:b/>
          <w:szCs w:val="24"/>
        </w:rPr>
        <w:t>4</w:t>
      </w:r>
    </w:p>
    <w:p w14:paraId="4ABBE899" w14:textId="61920765" w:rsidR="002B3F11" w:rsidRDefault="002B3F11" w:rsidP="002B3F11">
      <w:pPr>
        <w:pStyle w:val="seznamliteratury"/>
        <w:spacing w:before="0"/>
        <w:jc w:val="both"/>
        <w:rPr>
          <w:snapToGrid w:val="0"/>
          <w:sz w:val="22"/>
          <w:szCs w:val="22"/>
          <w:lang w:val="sk-SK"/>
        </w:rPr>
      </w:pPr>
    </w:p>
    <w:p w14:paraId="3A32A9A0" w14:textId="77777777" w:rsidR="00360E22" w:rsidRPr="00A14360" w:rsidRDefault="00360E22" w:rsidP="002B3F11">
      <w:pPr>
        <w:pStyle w:val="seznamliteratury"/>
        <w:spacing w:before="0"/>
        <w:jc w:val="both"/>
        <w:rPr>
          <w:snapToGrid w:val="0"/>
          <w:sz w:val="22"/>
          <w:szCs w:val="22"/>
          <w:lang w:val="sk-SK"/>
        </w:rPr>
      </w:pPr>
    </w:p>
    <w:p w14:paraId="714AD1B8" w14:textId="77777777" w:rsidR="00360E22" w:rsidRDefault="00360E22" w:rsidP="00360E22">
      <w:pPr>
        <w:pStyle w:val="seznamliteratury"/>
        <w:spacing w:before="0" w:line="360" w:lineRule="auto"/>
        <w:jc w:val="both"/>
        <w:rPr>
          <w:b/>
          <w:snapToGrid w:val="0"/>
          <w:sz w:val="22"/>
          <w:szCs w:val="22"/>
          <w:lang w:val="sk-SK"/>
        </w:rPr>
      </w:pPr>
      <w:r>
        <w:rPr>
          <w:b/>
          <w:snapToGrid w:val="0"/>
          <w:sz w:val="22"/>
          <w:szCs w:val="22"/>
          <w:lang w:val="sk-SK"/>
        </w:rPr>
        <w:t>Základná odporúčaná literatúra:</w:t>
      </w:r>
    </w:p>
    <w:p w14:paraId="4740AADA" w14:textId="77777777" w:rsidR="00A14360" w:rsidRDefault="00A14360" w:rsidP="00A14360">
      <w:pPr>
        <w:shd w:val="clear" w:color="auto" w:fill="FFFFFF"/>
        <w:rPr>
          <w:snapToGrid w:val="0"/>
          <w:sz w:val="22"/>
          <w:szCs w:val="22"/>
        </w:rPr>
      </w:pPr>
      <w:r w:rsidRPr="00A14360">
        <w:rPr>
          <w:color w:val="222222"/>
          <w:sz w:val="22"/>
          <w:szCs w:val="22"/>
          <w:lang w:eastAsia="sk-SK"/>
        </w:rPr>
        <w:t>JANKUV, J.; LANTAJOVÁ,D.; BLAŠKOVIČ,K.; BUCHTA,T.; ARBET,D.  </w:t>
      </w:r>
      <w:r w:rsidRPr="00A14360">
        <w:rPr>
          <w:i/>
          <w:iCs/>
          <w:color w:val="222222"/>
          <w:sz w:val="22"/>
          <w:szCs w:val="22"/>
          <w:lang w:eastAsia="sk-SK"/>
        </w:rPr>
        <w:t>Medzinárodné právo verejné. Druhá časť. </w:t>
      </w:r>
      <w:r w:rsidR="001B43B8">
        <w:rPr>
          <w:color w:val="222222"/>
          <w:sz w:val="22"/>
          <w:szCs w:val="22"/>
          <w:lang w:eastAsia="sk-SK"/>
        </w:rPr>
        <w:t xml:space="preserve">Plzeň: Aleš </w:t>
      </w:r>
      <w:proofErr w:type="spellStart"/>
      <w:r w:rsidR="001B43B8">
        <w:rPr>
          <w:color w:val="222222"/>
          <w:sz w:val="22"/>
          <w:szCs w:val="22"/>
          <w:lang w:eastAsia="sk-SK"/>
        </w:rPr>
        <w:t>Čeněk</w:t>
      </w:r>
      <w:proofErr w:type="spellEnd"/>
      <w:r w:rsidR="001B43B8">
        <w:rPr>
          <w:color w:val="222222"/>
          <w:sz w:val="22"/>
          <w:szCs w:val="22"/>
          <w:lang w:eastAsia="sk-SK"/>
        </w:rPr>
        <w:t xml:space="preserve">, 2016. 463s. ISBN </w:t>
      </w:r>
      <w:r w:rsidR="001B43B8" w:rsidRPr="00A14360">
        <w:rPr>
          <w:snapToGrid w:val="0"/>
          <w:sz w:val="22"/>
          <w:szCs w:val="22"/>
        </w:rPr>
        <w:t>978-80-</w:t>
      </w:r>
      <w:r w:rsidR="001B43B8">
        <w:rPr>
          <w:snapToGrid w:val="0"/>
          <w:sz w:val="22"/>
          <w:szCs w:val="22"/>
        </w:rPr>
        <w:t xml:space="preserve">7380-597-5. </w:t>
      </w:r>
    </w:p>
    <w:p w14:paraId="1F973DB4" w14:textId="284ADD23" w:rsidR="001E26F6" w:rsidRDefault="001E26F6">
      <w:pPr>
        <w:rPr>
          <w:b/>
          <w:snapToGrid w:val="0"/>
          <w:sz w:val="22"/>
          <w:szCs w:val="22"/>
        </w:rPr>
      </w:pPr>
    </w:p>
    <w:p w14:paraId="5B124BC0" w14:textId="77777777" w:rsidR="00360E22" w:rsidRPr="00A14360" w:rsidRDefault="00360E22">
      <w:pPr>
        <w:rPr>
          <w:b/>
          <w:snapToGrid w:val="0"/>
          <w:sz w:val="22"/>
          <w:szCs w:val="22"/>
        </w:rPr>
      </w:pPr>
    </w:p>
    <w:p w14:paraId="78835DA7" w14:textId="77777777" w:rsidR="00360E22" w:rsidRDefault="00360E22" w:rsidP="00360E22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Ďalšia odporúčaná literatúra:</w:t>
      </w:r>
    </w:p>
    <w:p w14:paraId="62ACD437" w14:textId="77777777" w:rsidR="00360E22" w:rsidRDefault="00360E22" w:rsidP="00360E2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BROWNLIE,I. </w:t>
      </w:r>
      <w:r>
        <w:rPr>
          <w:i/>
          <w:iCs/>
          <w:snapToGrid w:val="0"/>
          <w:sz w:val="22"/>
          <w:szCs w:val="22"/>
        </w:rPr>
        <w:t>Princípy medzinárodného verejného práva</w:t>
      </w:r>
      <w:r>
        <w:rPr>
          <w:snapToGrid w:val="0"/>
          <w:sz w:val="22"/>
          <w:szCs w:val="22"/>
        </w:rPr>
        <w:t xml:space="preserve">. Bratislava: </w:t>
      </w:r>
      <w:proofErr w:type="spellStart"/>
      <w:r>
        <w:rPr>
          <w:snapToGrid w:val="0"/>
          <w:sz w:val="22"/>
          <w:szCs w:val="22"/>
        </w:rPr>
        <w:t>Eurokódex</w:t>
      </w:r>
      <w:proofErr w:type="spellEnd"/>
      <w:r>
        <w:rPr>
          <w:snapToGrid w:val="0"/>
          <w:sz w:val="22"/>
          <w:szCs w:val="22"/>
        </w:rPr>
        <w:t xml:space="preserve"> a Paneurópska vysoká škola, 2013. 868s.  ISBN 978-80-89447-64-0. vybrané kapitoly</w:t>
      </w:r>
    </w:p>
    <w:p w14:paraId="1B562843" w14:textId="77777777" w:rsidR="00360E22" w:rsidRDefault="00360E22" w:rsidP="00360E22">
      <w:pPr>
        <w:rPr>
          <w:snapToGrid w:val="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ČEPELKA, Č., ŠTURMA, P.. </w:t>
      </w:r>
      <w:proofErr w:type="spellStart"/>
      <w:r>
        <w:rPr>
          <w:rFonts w:eastAsia="Arial Unicode MS"/>
          <w:i/>
          <w:sz w:val="22"/>
          <w:szCs w:val="22"/>
        </w:rPr>
        <w:t>Mezinárodní</w:t>
      </w:r>
      <w:proofErr w:type="spellEnd"/>
      <w:r>
        <w:rPr>
          <w:rFonts w:eastAsia="Arial Unicode MS"/>
          <w:i/>
          <w:sz w:val="22"/>
          <w:szCs w:val="22"/>
        </w:rPr>
        <w:t xml:space="preserve"> právo </w:t>
      </w:r>
      <w:proofErr w:type="spellStart"/>
      <w:r>
        <w:rPr>
          <w:rFonts w:eastAsia="Arial Unicode MS"/>
          <w:i/>
          <w:sz w:val="22"/>
          <w:szCs w:val="22"/>
        </w:rPr>
        <w:t>veřejné</w:t>
      </w:r>
      <w:proofErr w:type="spellEnd"/>
      <w:r>
        <w:rPr>
          <w:rFonts w:eastAsia="Arial Unicode MS"/>
          <w:i/>
          <w:sz w:val="22"/>
          <w:szCs w:val="22"/>
        </w:rPr>
        <w:t xml:space="preserve">. 2. </w:t>
      </w:r>
      <w:proofErr w:type="spellStart"/>
      <w:r>
        <w:rPr>
          <w:rFonts w:eastAsia="Arial Unicode MS"/>
          <w:i/>
          <w:sz w:val="22"/>
          <w:szCs w:val="22"/>
        </w:rPr>
        <w:t>vydání</w:t>
      </w:r>
      <w:proofErr w:type="spellEnd"/>
      <w:r>
        <w:rPr>
          <w:rFonts w:eastAsia="Arial Unicode MS"/>
          <w:i/>
          <w:sz w:val="22"/>
          <w:szCs w:val="22"/>
        </w:rPr>
        <w:t>.</w:t>
      </w:r>
      <w:r>
        <w:rPr>
          <w:rFonts w:eastAsia="Arial Unicode MS"/>
          <w:sz w:val="22"/>
          <w:szCs w:val="22"/>
        </w:rPr>
        <w:t xml:space="preserve"> Praha: C. H. </w:t>
      </w:r>
      <w:proofErr w:type="spellStart"/>
      <w:r>
        <w:rPr>
          <w:rFonts w:eastAsia="Arial Unicode MS"/>
          <w:sz w:val="22"/>
          <w:szCs w:val="22"/>
        </w:rPr>
        <w:t>Beck</w:t>
      </w:r>
      <w:proofErr w:type="spellEnd"/>
      <w:r>
        <w:rPr>
          <w:rFonts w:eastAsia="Arial Unicode MS"/>
          <w:sz w:val="22"/>
          <w:szCs w:val="22"/>
        </w:rPr>
        <w:t xml:space="preserve">, 2018. 549s. ISBN 978-80-7400-721-7. </w:t>
      </w:r>
      <w:r>
        <w:rPr>
          <w:snapToGrid w:val="0"/>
          <w:sz w:val="22"/>
          <w:szCs w:val="22"/>
        </w:rPr>
        <w:t>vybrané kapitoly</w:t>
      </w:r>
    </w:p>
    <w:p w14:paraId="30F0895F" w14:textId="77777777" w:rsidR="00360E22" w:rsidRPr="00A14360" w:rsidRDefault="00360E22" w:rsidP="00360E2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VRŠANSKÝ,P.; VALUCH,J. a kol.</w:t>
      </w:r>
      <w:r w:rsidRPr="00A14360">
        <w:rPr>
          <w:snapToGrid w:val="0"/>
          <w:sz w:val="22"/>
          <w:szCs w:val="22"/>
        </w:rPr>
        <w:t xml:space="preserve"> </w:t>
      </w:r>
      <w:r w:rsidRPr="00A14360">
        <w:rPr>
          <w:i/>
          <w:snapToGrid w:val="0"/>
          <w:sz w:val="22"/>
          <w:szCs w:val="22"/>
        </w:rPr>
        <w:t>Medzinárodné právo verejné. Osobitná časť.</w:t>
      </w:r>
      <w:r w:rsidRPr="00A14360">
        <w:rPr>
          <w:snapToGrid w:val="0"/>
          <w:sz w:val="22"/>
          <w:szCs w:val="22"/>
        </w:rPr>
        <w:t xml:space="preserve"> Bratislava: </w:t>
      </w:r>
      <w:proofErr w:type="spellStart"/>
      <w:r w:rsidRPr="00A14360">
        <w:rPr>
          <w:snapToGrid w:val="0"/>
          <w:sz w:val="22"/>
          <w:szCs w:val="22"/>
        </w:rPr>
        <w:t>Eurokódex</w:t>
      </w:r>
      <w:proofErr w:type="spellEnd"/>
      <w:r w:rsidRPr="00A14360">
        <w:rPr>
          <w:snapToGrid w:val="0"/>
          <w:sz w:val="22"/>
          <w:szCs w:val="22"/>
        </w:rPr>
        <w:t>, 2013.</w:t>
      </w:r>
    </w:p>
    <w:p w14:paraId="1CF12663" w14:textId="77777777" w:rsidR="00360E22" w:rsidRDefault="00360E22">
      <w:pPr>
        <w:rPr>
          <w:b/>
          <w:snapToGrid w:val="0"/>
          <w:sz w:val="22"/>
          <w:szCs w:val="22"/>
        </w:rPr>
      </w:pPr>
    </w:p>
    <w:p w14:paraId="271B78C0" w14:textId="77777777" w:rsidR="00360E22" w:rsidRDefault="00360E22">
      <w:pPr>
        <w:rPr>
          <w:b/>
          <w:snapToGrid w:val="0"/>
          <w:sz w:val="22"/>
          <w:szCs w:val="22"/>
        </w:rPr>
      </w:pPr>
    </w:p>
    <w:p w14:paraId="33EAE564" w14:textId="3432B0E6" w:rsidR="00360E22" w:rsidRDefault="00360E22" w:rsidP="00360E22">
      <w:p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Právne akty:</w:t>
      </w:r>
    </w:p>
    <w:p w14:paraId="556EF303" w14:textId="77777777" w:rsidR="00360E22" w:rsidRDefault="00360E22" w:rsidP="00360E2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Charta Organizácie Spojených národov a Štatút Medzinárodného súdneho dvora (1945) - Vyhláška MZV č.30/1945 Zb. v znení vyhlášky č.127/1965 Zb. </w:t>
      </w:r>
    </w:p>
    <w:p w14:paraId="46A70AFE" w14:textId="77777777" w:rsidR="00360E22" w:rsidRPr="00360E22" w:rsidRDefault="00360E22" w:rsidP="00360E22">
      <w:pPr>
        <w:rPr>
          <w:bCs/>
          <w:snapToGrid w:val="0"/>
          <w:sz w:val="22"/>
          <w:szCs w:val="22"/>
        </w:rPr>
      </w:pPr>
      <w:r w:rsidRPr="00360E22">
        <w:rPr>
          <w:bCs/>
          <w:snapToGrid w:val="0"/>
          <w:sz w:val="22"/>
          <w:szCs w:val="22"/>
        </w:rPr>
        <w:t>Európsky dohovor o občianstve (1997).</w:t>
      </w:r>
    </w:p>
    <w:p w14:paraId="115D8E5D" w14:textId="77777777" w:rsidR="00360E22" w:rsidRPr="00360E22" w:rsidRDefault="00360E22" w:rsidP="00360E22">
      <w:pPr>
        <w:rPr>
          <w:bCs/>
          <w:snapToGrid w:val="0"/>
          <w:sz w:val="22"/>
          <w:szCs w:val="22"/>
        </w:rPr>
      </w:pPr>
      <w:r w:rsidRPr="00360E22">
        <w:rPr>
          <w:bCs/>
          <w:snapToGrid w:val="0"/>
          <w:sz w:val="22"/>
          <w:szCs w:val="22"/>
        </w:rPr>
        <w:t>Medzinárodný pakt o občianskych a politických právach (1966).</w:t>
      </w:r>
    </w:p>
    <w:p w14:paraId="4D2B4254" w14:textId="77777777" w:rsidR="00360E22" w:rsidRPr="00360E22" w:rsidRDefault="00360E22" w:rsidP="00360E22">
      <w:pPr>
        <w:rPr>
          <w:bCs/>
          <w:snapToGrid w:val="0"/>
          <w:sz w:val="22"/>
          <w:szCs w:val="22"/>
        </w:rPr>
      </w:pPr>
      <w:r w:rsidRPr="00360E22">
        <w:rPr>
          <w:bCs/>
          <w:snapToGrid w:val="0"/>
          <w:sz w:val="22"/>
          <w:szCs w:val="22"/>
        </w:rPr>
        <w:t>Európsky dohovor o ochrane ľudských práv a základných slobôd z roku 1950.</w:t>
      </w:r>
    </w:p>
    <w:p w14:paraId="19A67891" w14:textId="0BB4C0CD" w:rsidR="001E26F6" w:rsidRPr="00360E22" w:rsidRDefault="00360E22" w:rsidP="00360E22">
      <w:pPr>
        <w:rPr>
          <w:bCs/>
          <w:snapToGrid w:val="0"/>
          <w:sz w:val="22"/>
          <w:szCs w:val="22"/>
        </w:rPr>
      </w:pPr>
      <w:r w:rsidRPr="00360E22">
        <w:rPr>
          <w:bCs/>
          <w:snapToGrid w:val="0"/>
          <w:sz w:val="22"/>
          <w:szCs w:val="22"/>
        </w:rPr>
        <w:t>Ženevské dohovory a ich dodatkové protokoly medzinárodného humanitárneho práva</w:t>
      </w:r>
    </w:p>
    <w:p w14:paraId="1EA10B35" w14:textId="77777777" w:rsidR="00360E22" w:rsidRPr="00A14360" w:rsidRDefault="00360E22">
      <w:pPr>
        <w:rPr>
          <w:b/>
          <w:snapToGrid w:val="0"/>
          <w:sz w:val="22"/>
          <w:szCs w:val="22"/>
        </w:rPr>
      </w:pPr>
    </w:p>
    <w:p w14:paraId="226C0E3F" w14:textId="77777777" w:rsidR="002F2D89" w:rsidRPr="00A14360" w:rsidRDefault="002F2D89">
      <w:pPr>
        <w:rPr>
          <w:b/>
          <w:snapToGrid w:val="0"/>
          <w:sz w:val="22"/>
          <w:szCs w:val="22"/>
        </w:rPr>
      </w:pPr>
      <w:r w:rsidRPr="00A14360">
        <w:rPr>
          <w:b/>
          <w:snapToGrid w:val="0"/>
          <w:sz w:val="22"/>
          <w:szCs w:val="22"/>
        </w:rPr>
        <w:t>Webové stránky k prípadovým štúdiám:</w:t>
      </w:r>
    </w:p>
    <w:p w14:paraId="266B49E0" w14:textId="77777777" w:rsidR="002F2D89" w:rsidRPr="00A14360" w:rsidRDefault="002F2D89" w:rsidP="002F2D89">
      <w:pPr>
        <w:rPr>
          <w:sz w:val="22"/>
          <w:szCs w:val="22"/>
        </w:rPr>
      </w:pPr>
      <w:r w:rsidRPr="00A14360">
        <w:rPr>
          <w:i/>
          <w:sz w:val="22"/>
          <w:szCs w:val="22"/>
        </w:rPr>
        <w:t>Medzinárodný súdny dvor a Stály dvor medzinárodnej spravodlivosti:</w:t>
      </w:r>
      <w:r w:rsidR="00A507C8" w:rsidRPr="00A14360">
        <w:rPr>
          <w:sz w:val="22"/>
          <w:szCs w:val="22"/>
        </w:rPr>
        <w:t xml:space="preserve"> </w:t>
      </w:r>
      <w:r w:rsidR="00A507C8" w:rsidRPr="00A14360">
        <w:rPr>
          <w:sz w:val="22"/>
          <w:szCs w:val="22"/>
          <w:u w:val="single"/>
        </w:rPr>
        <w:t>http://www.icj-cij.org/docket/index.php?p1=3&amp;p2=2</w:t>
      </w:r>
    </w:p>
    <w:p w14:paraId="7CFDD8AF" w14:textId="77777777" w:rsidR="00A507C8" w:rsidRPr="00A14360" w:rsidRDefault="00A507C8" w:rsidP="002F2D89">
      <w:pPr>
        <w:rPr>
          <w:sz w:val="22"/>
          <w:szCs w:val="22"/>
        </w:rPr>
      </w:pPr>
      <w:r w:rsidRPr="00A14360">
        <w:rPr>
          <w:i/>
          <w:sz w:val="22"/>
          <w:szCs w:val="22"/>
        </w:rPr>
        <w:t>Stály arbitrážny dvor:</w:t>
      </w:r>
      <w:r w:rsidRPr="00A14360">
        <w:rPr>
          <w:sz w:val="22"/>
          <w:szCs w:val="22"/>
        </w:rPr>
        <w:t xml:space="preserve"> </w:t>
      </w:r>
      <w:r w:rsidRPr="00A14360">
        <w:rPr>
          <w:sz w:val="22"/>
          <w:szCs w:val="22"/>
          <w:u w:val="single"/>
        </w:rPr>
        <w:t>http://www.pca-cpa.org/showpage.asp?pag_id=1029</w:t>
      </w:r>
    </w:p>
    <w:p w14:paraId="316EA843" w14:textId="77777777" w:rsidR="00B25309" w:rsidRPr="00A14360" w:rsidRDefault="002F2D89" w:rsidP="002F2D89">
      <w:pPr>
        <w:rPr>
          <w:sz w:val="22"/>
          <w:szCs w:val="22"/>
        </w:rPr>
      </w:pPr>
      <w:r w:rsidRPr="00A14360">
        <w:rPr>
          <w:i/>
          <w:sz w:val="22"/>
          <w:szCs w:val="22"/>
        </w:rPr>
        <w:lastRenderedPageBreak/>
        <w:t>Výbor na odstránenie rasovej diskriminácie:</w:t>
      </w:r>
      <w:r w:rsidR="00A507C8" w:rsidRPr="00A14360">
        <w:rPr>
          <w:sz w:val="22"/>
          <w:szCs w:val="22"/>
        </w:rPr>
        <w:t xml:space="preserve"> </w:t>
      </w:r>
    </w:p>
    <w:p w14:paraId="7D39E163" w14:textId="77777777" w:rsidR="002F2D89" w:rsidRPr="00A14360" w:rsidRDefault="00B25309" w:rsidP="002F2D89">
      <w:pPr>
        <w:rPr>
          <w:sz w:val="22"/>
          <w:szCs w:val="22"/>
          <w:u w:val="single"/>
        </w:rPr>
      </w:pPr>
      <w:r w:rsidRPr="00A14360">
        <w:rPr>
          <w:sz w:val="22"/>
          <w:szCs w:val="22"/>
          <w:u w:val="single"/>
        </w:rPr>
        <w:t>http://www1.umn.edu/humanrts/country/decisions/31-2003.html</w:t>
      </w:r>
    </w:p>
    <w:p w14:paraId="30888502" w14:textId="77777777" w:rsidR="00A507C8" w:rsidRPr="00A14360" w:rsidRDefault="00A507C8" w:rsidP="00A507C8">
      <w:pPr>
        <w:rPr>
          <w:i/>
          <w:sz w:val="22"/>
          <w:szCs w:val="22"/>
        </w:rPr>
      </w:pPr>
      <w:r w:rsidRPr="00A14360">
        <w:rPr>
          <w:i/>
          <w:sz w:val="22"/>
          <w:szCs w:val="22"/>
        </w:rPr>
        <w:t>Európsky súd pre ľudské práva:</w:t>
      </w:r>
    </w:p>
    <w:p w14:paraId="006362E4" w14:textId="77777777" w:rsidR="00A507C8" w:rsidRPr="00A14360" w:rsidRDefault="00685603" w:rsidP="00A507C8">
      <w:pPr>
        <w:rPr>
          <w:sz w:val="22"/>
          <w:szCs w:val="22"/>
        </w:rPr>
      </w:pPr>
      <w:hyperlink r:id="rId6" w:history="1">
        <w:r w:rsidR="00A507C8" w:rsidRPr="00A14360">
          <w:rPr>
            <w:rStyle w:val="Hypertextovprepojenie"/>
            <w:color w:val="auto"/>
            <w:sz w:val="22"/>
            <w:szCs w:val="22"/>
          </w:rPr>
          <w:t>http://www.echr.coe.int/ECHR/EN/Header/Case-Law/HUDOC/HUDOC+database/</w:t>
        </w:r>
      </w:hyperlink>
    </w:p>
    <w:p w14:paraId="7FD56B0A" w14:textId="352EDDFB" w:rsidR="00A507C8" w:rsidRDefault="00A507C8">
      <w:pPr>
        <w:rPr>
          <w:snapToGrid w:val="0"/>
          <w:sz w:val="22"/>
          <w:szCs w:val="22"/>
        </w:rPr>
      </w:pPr>
    </w:p>
    <w:p w14:paraId="6206C1E5" w14:textId="3849549F" w:rsidR="00360E22" w:rsidRDefault="00360E22">
      <w:pPr>
        <w:rPr>
          <w:snapToGrid w:val="0"/>
          <w:sz w:val="22"/>
          <w:szCs w:val="22"/>
        </w:rPr>
      </w:pPr>
    </w:p>
    <w:p w14:paraId="79CD342E" w14:textId="77777777" w:rsidR="00360E22" w:rsidRDefault="00360E22" w:rsidP="00360E22">
      <w:p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Ďalšia relevantná literatúra - uvádzame len pre informáciu:</w:t>
      </w:r>
    </w:p>
    <w:p w14:paraId="342C9A11" w14:textId="3B9AB7CF" w:rsidR="006E5ADF" w:rsidRDefault="006E5ADF" w:rsidP="006E5ADF">
      <w:pPr>
        <w:rPr>
          <w:rFonts w:eastAsia="Arial Unicode MS"/>
          <w:sz w:val="22"/>
          <w:szCs w:val="22"/>
        </w:rPr>
      </w:pPr>
      <w:r>
        <w:rPr>
          <w:snapToGrid w:val="0"/>
          <w:sz w:val="22"/>
          <w:szCs w:val="22"/>
        </w:rPr>
        <w:t xml:space="preserve">DAVID, V., SLADKÝ, P.. </w:t>
      </w:r>
      <w:proofErr w:type="spellStart"/>
      <w:r>
        <w:rPr>
          <w:i/>
          <w:snapToGrid w:val="0"/>
          <w:sz w:val="22"/>
          <w:szCs w:val="22"/>
        </w:rPr>
        <w:t>Mezinárodní</w:t>
      </w:r>
      <w:proofErr w:type="spellEnd"/>
      <w:r>
        <w:rPr>
          <w:i/>
          <w:snapToGrid w:val="0"/>
          <w:sz w:val="22"/>
          <w:szCs w:val="22"/>
        </w:rPr>
        <w:t xml:space="preserve"> právo </w:t>
      </w:r>
      <w:proofErr w:type="spellStart"/>
      <w:r>
        <w:rPr>
          <w:i/>
          <w:snapToGrid w:val="0"/>
          <w:sz w:val="22"/>
          <w:szCs w:val="22"/>
        </w:rPr>
        <w:t>veřejné</w:t>
      </w:r>
      <w:proofErr w:type="spellEnd"/>
      <w:r>
        <w:rPr>
          <w:i/>
          <w:snapToGrid w:val="0"/>
          <w:sz w:val="22"/>
          <w:szCs w:val="22"/>
        </w:rPr>
        <w:t xml:space="preserve"> s kazuistikou.</w:t>
      </w:r>
      <w:r>
        <w:rPr>
          <w:snapToGrid w:val="0"/>
          <w:sz w:val="22"/>
          <w:szCs w:val="22"/>
        </w:rPr>
        <w:t xml:space="preserve"> 3. </w:t>
      </w:r>
      <w:proofErr w:type="spellStart"/>
      <w:r>
        <w:rPr>
          <w:snapToGrid w:val="0"/>
          <w:sz w:val="22"/>
          <w:szCs w:val="22"/>
        </w:rPr>
        <w:t>přepracované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vydání</w:t>
      </w:r>
      <w:proofErr w:type="spellEnd"/>
      <w:r>
        <w:rPr>
          <w:snapToGrid w:val="0"/>
          <w:sz w:val="22"/>
          <w:szCs w:val="22"/>
        </w:rPr>
        <w:t xml:space="preserve">. Příbram: </w:t>
      </w:r>
      <w:proofErr w:type="spellStart"/>
      <w:r>
        <w:rPr>
          <w:snapToGrid w:val="0"/>
          <w:sz w:val="22"/>
          <w:szCs w:val="22"/>
        </w:rPr>
        <w:t>Leges</w:t>
      </w:r>
      <w:proofErr w:type="spellEnd"/>
      <w:r>
        <w:rPr>
          <w:snapToGrid w:val="0"/>
          <w:sz w:val="22"/>
          <w:szCs w:val="22"/>
        </w:rPr>
        <w:t xml:space="preserve">, 2022. 544s. ISBN </w:t>
      </w:r>
      <w:r>
        <w:rPr>
          <w:rFonts w:eastAsia="Arial Unicode MS"/>
          <w:sz w:val="22"/>
          <w:szCs w:val="22"/>
        </w:rPr>
        <w:t>978-80-7502-497-8.</w:t>
      </w:r>
    </w:p>
    <w:p w14:paraId="53D1BE99" w14:textId="77777777" w:rsidR="00360E22" w:rsidRDefault="00360E22" w:rsidP="00360E22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KLUČKA, J.: </w:t>
      </w:r>
      <w:r>
        <w:rPr>
          <w:rFonts w:eastAsia="Arial Unicode MS"/>
          <w:i/>
          <w:sz w:val="22"/>
          <w:szCs w:val="22"/>
        </w:rPr>
        <w:t>Medzinárodné právo verejné (všeobecná a osobitná časť).</w:t>
      </w:r>
      <w:r>
        <w:rPr>
          <w:rFonts w:eastAsia="Arial Unicode MS"/>
          <w:sz w:val="22"/>
          <w:szCs w:val="22"/>
        </w:rPr>
        <w:t xml:space="preserve"> Tretie, doplnené a prepracované vydanie. Bratislava: </w:t>
      </w:r>
      <w:proofErr w:type="spellStart"/>
      <w:r>
        <w:rPr>
          <w:rFonts w:eastAsia="Arial Unicode MS"/>
          <w:sz w:val="22"/>
          <w:szCs w:val="22"/>
        </w:rPr>
        <w:t>Iura</w:t>
      </w:r>
      <w:proofErr w:type="spell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Edition</w:t>
      </w:r>
      <w:proofErr w:type="spellEnd"/>
      <w:r>
        <w:rPr>
          <w:rFonts w:eastAsia="Arial Unicode MS"/>
          <w:sz w:val="22"/>
          <w:szCs w:val="22"/>
        </w:rPr>
        <w:t>, 2017. 520s. ISBN 978-80-8168-743-3.</w:t>
      </w:r>
    </w:p>
    <w:p w14:paraId="3089D032" w14:textId="77777777" w:rsidR="00360E22" w:rsidRDefault="00360E22" w:rsidP="00360E2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MALENOVSKÝ,J. </w:t>
      </w:r>
      <w:proofErr w:type="spellStart"/>
      <w:r>
        <w:rPr>
          <w:i/>
          <w:snapToGrid w:val="0"/>
          <w:sz w:val="22"/>
          <w:szCs w:val="22"/>
        </w:rPr>
        <w:t>Mezinárodní</w:t>
      </w:r>
      <w:proofErr w:type="spellEnd"/>
      <w:r>
        <w:rPr>
          <w:i/>
          <w:snapToGrid w:val="0"/>
          <w:sz w:val="22"/>
          <w:szCs w:val="22"/>
        </w:rPr>
        <w:t xml:space="preserve"> právo </w:t>
      </w:r>
      <w:proofErr w:type="spellStart"/>
      <w:r>
        <w:rPr>
          <w:i/>
          <w:snapToGrid w:val="0"/>
          <w:sz w:val="22"/>
          <w:szCs w:val="22"/>
        </w:rPr>
        <w:t>veřejné</w:t>
      </w:r>
      <w:proofErr w:type="spellEnd"/>
      <w:r>
        <w:rPr>
          <w:i/>
          <w:snapToGrid w:val="0"/>
          <w:sz w:val="22"/>
          <w:szCs w:val="22"/>
        </w:rPr>
        <w:t xml:space="preserve"> - obecná </w:t>
      </w:r>
      <w:proofErr w:type="spellStart"/>
      <w:r>
        <w:rPr>
          <w:i/>
          <w:snapToGrid w:val="0"/>
          <w:sz w:val="22"/>
          <w:szCs w:val="22"/>
        </w:rPr>
        <w:t>část</w:t>
      </w:r>
      <w:proofErr w:type="spellEnd"/>
      <w:r>
        <w:rPr>
          <w:i/>
          <w:snapToGrid w:val="0"/>
          <w:sz w:val="22"/>
          <w:szCs w:val="22"/>
        </w:rPr>
        <w:t xml:space="preserve"> - a </w:t>
      </w:r>
      <w:proofErr w:type="spellStart"/>
      <w:r>
        <w:rPr>
          <w:i/>
          <w:snapToGrid w:val="0"/>
          <w:sz w:val="22"/>
          <w:szCs w:val="22"/>
        </w:rPr>
        <w:t>poměr</w:t>
      </w:r>
      <w:proofErr w:type="spellEnd"/>
      <w:r>
        <w:rPr>
          <w:i/>
          <w:snapToGrid w:val="0"/>
          <w:sz w:val="22"/>
          <w:szCs w:val="22"/>
        </w:rPr>
        <w:t xml:space="preserve"> k </w:t>
      </w:r>
      <w:proofErr w:type="spellStart"/>
      <w:r>
        <w:rPr>
          <w:i/>
          <w:snapToGrid w:val="0"/>
          <w:sz w:val="22"/>
          <w:szCs w:val="22"/>
        </w:rPr>
        <w:t>jiným</w:t>
      </w:r>
      <w:proofErr w:type="spellEnd"/>
      <w:r>
        <w:rPr>
          <w:i/>
          <w:snapToGrid w:val="0"/>
          <w:sz w:val="22"/>
          <w:szCs w:val="22"/>
        </w:rPr>
        <w:t xml:space="preserve"> </w:t>
      </w:r>
      <w:proofErr w:type="spellStart"/>
      <w:r>
        <w:rPr>
          <w:i/>
          <w:snapToGrid w:val="0"/>
          <w:sz w:val="22"/>
          <w:szCs w:val="22"/>
        </w:rPr>
        <w:t>právním</w:t>
      </w:r>
      <w:proofErr w:type="spellEnd"/>
      <w:r>
        <w:rPr>
          <w:i/>
          <w:snapToGrid w:val="0"/>
          <w:sz w:val="22"/>
          <w:szCs w:val="22"/>
        </w:rPr>
        <w:t xml:space="preserve"> </w:t>
      </w:r>
      <w:proofErr w:type="spellStart"/>
      <w:r>
        <w:rPr>
          <w:i/>
          <w:snapToGrid w:val="0"/>
          <w:sz w:val="22"/>
          <w:szCs w:val="22"/>
        </w:rPr>
        <w:t>systémům</w:t>
      </w:r>
      <w:proofErr w:type="spellEnd"/>
      <w:r>
        <w:rPr>
          <w:i/>
          <w:snapToGrid w:val="0"/>
          <w:sz w:val="22"/>
          <w:szCs w:val="22"/>
        </w:rPr>
        <w:t>. 7. upravené a </w:t>
      </w:r>
      <w:proofErr w:type="spellStart"/>
      <w:r>
        <w:rPr>
          <w:i/>
          <w:snapToGrid w:val="0"/>
          <w:sz w:val="22"/>
          <w:szCs w:val="22"/>
        </w:rPr>
        <w:t>doplněné</w:t>
      </w:r>
      <w:proofErr w:type="spellEnd"/>
      <w:r>
        <w:rPr>
          <w:i/>
          <w:snapToGrid w:val="0"/>
          <w:sz w:val="22"/>
          <w:szCs w:val="22"/>
        </w:rPr>
        <w:t xml:space="preserve"> </w:t>
      </w:r>
      <w:proofErr w:type="spellStart"/>
      <w:r>
        <w:rPr>
          <w:i/>
          <w:snapToGrid w:val="0"/>
          <w:sz w:val="22"/>
          <w:szCs w:val="22"/>
        </w:rPr>
        <w:t>vydání</w:t>
      </w:r>
      <w:proofErr w:type="spellEnd"/>
      <w:r>
        <w:rPr>
          <w:i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Brno:  Masarykova univerzita Brno, 2020. 395s. ISBN 978-80-210-9510-6.</w:t>
      </w:r>
    </w:p>
    <w:p w14:paraId="3204D51F" w14:textId="77777777" w:rsidR="00360E22" w:rsidRDefault="00360E22" w:rsidP="00360E22">
      <w:pPr>
        <w:pStyle w:val="Textpoznmkypodiarou"/>
        <w:spacing w:line="360" w:lineRule="auto"/>
        <w:jc w:val="both"/>
        <w:rPr>
          <w:rFonts w:eastAsia="Arial Unicode MS"/>
          <w:sz w:val="22"/>
          <w:szCs w:val="22"/>
          <w:lang w:val="sk-SK"/>
        </w:rPr>
      </w:pPr>
      <w:r>
        <w:rPr>
          <w:rFonts w:eastAsia="Arial Unicode MS"/>
          <w:sz w:val="22"/>
          <w:szCs w:val="22"/>
          <w:lang w:val="sk-SK"/>
        </w:rPr>
        <w:t xml:space="preserve">POTOČNÝ, M.; ONDŘEJ, J.: </w:t>
      </w:r>
      <w:proofErr w:type="spellStart"/>
      <w:r>
        <w:rPr>
          <w:rFonts w:eastAsia="Arial Unicode MS"/>
          <w:i/>
          <w:sz w:val="22"/>
          <w:szCs w:val="22"/>
          <w:lang w:val="sk-SK"/>
        </w:rPr>
        <w:t>Mezinárodní</w:t>
      </w:r>
      <w:proofErr w:type="spellEnd"/>
      <w:r>
        <w:rPr>
          <w:rFonts w:eastAsia="Arial Unicode MS"/>
          <w:i/>
          <w:sz w:val="22"/>
          <w:szCs w:val="22"/>
          <w:lang w:val="sk-SK"/>
        </w:rPr>
        <w:t xml:space="preserve"> právo </w:t>
      </w:r>
      <w:proofErr w:type="spellStart"/>
      <w:r>
        <w:rPr>
          <w:rFonts w:eastAsia="Arial Unicode MS"/>
          <w:i/>
          <w:sz w:val="22"/>
          <w:szCs w:val="22"/>
          <w:lang w:val="sk-SK"/>
        </w:rPr>
        <w:t>veřejné</w:t>
      </w:r>
      <w:proofErr w:type="spellEnd"/>
      <w:r>
        <w:rPr>
          <w:rFonts w:eastAsia="Arial Unicode MS"/>
          <w:i/>
          <w:sz w:val="22"/>
          <w:szCs w:val="22"/>
          <w:lang w:val="sk-SK"/>
        </w:rPr>
        <w:t xml:space="preserve">: </w:t>
      </w:r>
      <w:proofErr w:type="spellStart"/>
      <w:r>
        <w:rPr>
          <w:rFonts w:eastAsia="Arial Unicode MS"/>
          <w:i/>
          <w:sz w:val="22"/>
          <w:szCs w:val="22"/>
          <w:lang w:val="sk-SK"/>
        </w:rPr>
        <w:t>zvláštní</w:t>
      </w:r>
      <w:proofErr w:type="spellEnd"/>
      <w:r>
        <w:rPr>
          <w:rFonts w:eastAsia="Arial Unicode MS"/>
          <w:i/>
          <w:sz w:val="22"/>
          <w:szCs w:val="22"/>
          <w:lang w:val="sk-SK"/>
        </w:rPr>
        <w:t xml:space="preserve"> </w:t>
      </w:r>
      <w:proofErr w:type="spellStart"/>
      <w:r>
        <w:rPr>
          <w:rFonts w:eastAsia="Arial Unicode MS"/>
          <w:i/>
          <w:sz w:val="22"/>
          <w:szCs w:val="22"/>
          <w:lang w:val="sk-SK"/>
        </w:rPr>
        <w:t>část</w:t>
      </w:r>
      <w:proofErr w:type="spellEnd"/>
      <w:r>
        <w:rPr>
          <w:rFonts w:eastAsia="Arial Unicode MS"/>
          <w:i/>
          <w:sz w:val="22"/>
          <w:szCs w:val="22"/>
          <w:lang w:val="sk-SK"/>
        </w:rPr>
        <w:t xml:space="preserve">. </w:t>
      </w:r>
      <w:r>
        <w:rPr>
          <w:rFonts w:eastAsia="Arial Unicode MS"/>
          <w:sz w:val="22"/>
          <w:szCs w:val="22"/>
          <w:lang w:val="sk-SK"/>
        </w:rPr>
        <w:t xml:space="preserve">6. </w:t>
      </w:r>
      <w:proofErr w:type="spellStart"/>
      <w:r>
        <w:rPr>
          <w:rFonts w:eastAsia="Arial Unicode MS"/>
          <w:sz w:val="22"/>
          <w:szCs w:val="22"/>
          <w:lang w:val="sk-SK"/>
        </w:rPr>
        <w:t>doplněné</w:t>
      </w:r>
      <w:proofErr w:type="spellEnd"/>
      <w:r>
        <w:rPr>
          <w:rFonts w:eastAsia="Arial Unicode MS"/>
          <w:sz w:val="22"/>
          <w:szCs w:val="22"/>
          <w:lang w:val="sk-SK"/>
        </w:rPr>
        <w:t xml:space="preserve"> a </w:t>
      </w:r>
      <w:proofErr w:type="spellStart"/>
      <w:r>
        <w:rPr>
          <w:rFonts w:eastAsia="Arial Unicode MS"/>
          <w:sz w:val="22"/>
          <w:szCs w:val="22"/>
          <w:lang w:val="sk-SK"/>
        </w:rPr>
        <w:t>přepracované</w:t>
      </w:r>
      <w:proofErr w:type="spellEnd"/>
      <w:r>
        <w:rPr>
          <w:rFonts w:eastAsia="Arial Unicode MS"/>
          <w:sz w:val="22"/>
          <w:szCs w:val="22"/>
          <w:lang w:val="sk-SK"/>
        </w:rPr>
        <w:t xml:space="preserve"> </w:t>
      </w:r>
      <w:proofErr w:type="spellStart"/>
      <w:r>
        <w:rPr>
          <w:rFonts w:eastAsia="Arial Unicode MS"/>
          <w:sz w:val="22"/>
          <w:szCs w:val="22"/>
          <w:lang w:val="sk-SK"/>
        </w:rPr>
        <w:t>vydání</w:t>
      </w:r>
      <w:proofErr w:type="spellEnd"/>
      <w:r>
        <w:rPr>
          <w:rFonts w:eastAsia="Arial Unicode MS"/>
          <w:i/>
          <w:sz w:val="22"/>
          <w:szCs w:val="22"/>
          <w:lang w:val="sk-SK"/>
        </w:rPr>
        <w:t>.</w:t>
      </w:r>
      <w:r>
        <w:rPr>
          <w:rFonts w:eastAsia="Arial Unicode MS"/>
          <w:sz w:val="22"/>
          <w:szCs w:val="22"/>
          <w:lang w:val="sk-SK"/>
        </w:rPr>
        <w:t xml:space="preserve"> Praha: C.H. </w:t>
      </w:r>
      <w:proofErr w:type="spellStart"/>
      <w:r>
        <w:rPr>
          <w:rFonts w:eastAsia="Arial Unicode MS"/>
          <w:sz w:val="22"/>
          <w:szCs w:val="22"/>
          <w:lang w:val="sk-SK"/>
        </w:rPr>
        <w:t>Beck</w:t>
      </w:r>
      <w:proofErr w:type="spellEnd"/>
      <w:r>
        <w:rPr>
          <w:rFonts w:eastAsia="Arial Unicode MS"/>
          <w:sz w:val="22"/>
          <w:szCs w:val="22"/>
          <w:lang w:val="sk-SK"/>
        </w:rPr>
        <w:t>, 2011. 533s. ISBN 978-80-7400-398-1.</w:t>
      </w:r>
    </w:p>
    <w:p w14:paraId="7E70E09F" w14:textId="77777777" w:rsidR="00360E22" w:rsidRDefault="00360E22" w:rsidP="00360E2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ŠTURMA,P. a kol.: </w:t>
      </w:r>
      <w:proofErr w:type="spellStart"/>
      <w:r>
        <w:rPr>
          <w:i/>
          <w:snapToGrid w:val="0"/>
          <w:sz w:val="22"/>
          <w:szCs w:val="22"/>
        </w:rPr>
        <w:t>Casebook</w:t>
      </w:r>
      <w:proofErr w:type="spellEnd"/>
      <w:r>
        <w:rPr>
          <w:i/>
          <w:snapToGrid w:val="0"/>
          <w:sz w:val="22"/>
          <w:szCs w:val="22"/>
        </w:rPr>
        <w:t xml:space="preserve">. </w:t>
      </w:r>
      <w:proofErr w:type="spellStart"/>
      <w:r>
        <w:rPr>
          <w:i/>
          <w:snapToGrid w:val="0"/>
          <w:sz w:val="22"/>
          <w:szCs w:val="22"/>
        </w:rPr>
        <w:t>Výběr</w:t>
      </w:r>
      <w:proofErr w:type="spellEnd"/>
      <w:r>
        <w:rPr>
          <w:i/>
          <w:snapToGrid w:val="0"/>
          <w:sz w:val="22"/>
          <w:szCs w:val="22"/>
        </w:rPr>
        <w:t xml:space="preserve"> </w:t>
      </w:r>
      <w:proofErr w:type="spellStart"/>
      <w:r>
        <w:rPr>
          <w:i/>
          <w:snapToGrid w:val="0"/>
          <w:sz w:val="22"/>
          <w:szCs w:val="22"/>
        </w:rPr>
        <w:t>případů</w:t>
      </w:r>
      <w:proofErr w:type="spellEnd"/>
      <w:r>
        <w:rPr>
          <w:i/>
          <w:snapToGrid w:val="0"/>
          <w:sz w:val="22"/>
          <w:szCs w:val="22"/>
        </w:rPr>
        <w:t xml:space="preserve"> z </w:t>
      </w:r>
      <w:proofErr w:type="spellStart"/>
      <w:r>
        <w:rPr>
          <w:i/>
          <w:snapToGrid w:val="0"/>
          <w:sz w:val="22"/>
          <w:szCs w:val="22"/>
        </w:rPr>
        <w:t>mezinárodního</w:t>
      </w:r>
      <w:proofErr w:type="spellEnd"/>
      <w:r>
        <w:rPr>
          <w:i/>
          <w:snapToGrid w:val="0"/>
          <w:sz w:val="22"/>
          <w:szCs w:val="22"/>
        </w:rPr>
        <w:t xml:space="preserve"> práva </w:t>
      </w:r>
      <w:proofErr w:type="spellStart"/>
      <w:r>
        <w:rPr>
          <w:i/>
          <w:snapToGrid w:val="0"/>
          <w:sz w:val="22"/>
          <w:szCs w:val="22"/>
        </w:rPr>
        <w:t>veřejného</w:t>
      </w:r>
      <w:proofErr w:type="spellEnd"/>
      <w:r>
        <w:rPr>
          <w:i/>
          <w:snapToGrid w:val="0"/>
          <w:sz w:val="22"/>
          <w:szCs w:val="22"/>
        </w:rPr>
        <w:t xml:space="preserve">, 2. </w:t>
      </w:r>
      <w:proofErr w:type="spellStart"/>
      <w:r>
        <w:rPr>
          <w:i/>
          <w:snapToGrid w:val="0"/>
          <w:sz w:val="22"/>
          <w:szCs w:val="22"/>
        </w:rPr>
        <w:t>doplněné</w:t>
      </w:r>
      <w:proofErr w:type="spellEnd"/>
      <w:r>
        <w:rPr>
          <w:i/>
          <w:snapToGrid w:val="0"/>
          <w:sz w:val="22"/>
          <w:szCs w:val="22"/>
        </w:rPr>
        <w:t xml:space="preserve"> </w:t>
      </w:r>
      <w:proofErr w:type="spellStart"/>
      <w:r>
        <w:rPr>
          <w:i/>
          <w:snapToGrid w:val="0"/>
          <w:sz w:val="22"/>
          <w:szCs w:val="22"/>
        </w:rPr>
        <w:t>vydání</w:t>
      </w:r>
      <w:proofErr w:type="spellEnd"/>
      <w:r>
        <w:rPr>
          <w:i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Praha: Univerzita Karlova v </w:t>
      </w:r>
      <w:proofErr w:type="spellStart"/>
      <w:r>
        <w:rPr>
          <w:snapToGrid w:val="0"/>
          <w:sz w:val="22"/>
          <w:szCs w:val="22"/>
        </w:rPr>
        <w:t>Praze</w:t>
      </w:r>
      <w:proofErr w:type="spellEnd"/>
      <w:r>
        <w:rPr>
          <w:snapToGrid w:val="0"/>
          <w:sz w:val="22"/>
          <w:szCs w:val="22"/>
        </w:rPr>
        <w:t xml:space="preserve">, Právnická fakulta, 2010. </w:t>
      </w:r>
      <w:r>
        <w:rPr>
          <w:rFonts w:eastAsia="Arial Unicode MS"/>
          <w:sz w:val="22"/>
          <w:szCs w:val="22"/>
        </w:rPr>
        <w:t>ISBN 978-80-87146-37-8.</w:t>
      </w:r>
    </w:p>
    <w:p w14:paraId="4B663636" w14:textId="77777777" w:rsidR="00360E22" w:rsidRDefault="00360E22" w:rsidP="00360E22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LANTAJOVÁ,D. a kol. </w:t>
      </w:r>
      <w:r>
        <w:rPr>
          <w:i/>
          <w:snapToGrid w:val="0"/>
          <w:sz w:val="22"/>
          <w:szCs w:val="22"/>
        </w:rPr>
        <w:t xml:space="preserve">Prípadové štúdie z európskeho a medzinárodného práva </w:t>
      </w:r>
      <w:r>
        <w:rPr>
          <w:snapToGrid w:val="0"/>
          <w:sz w:val="22"/>
          <w:szCs w:val="22"/>
        </w:rPr>
        <w:t xml:space="preserve">(+ CD). Bratislava: </w:t>
      </w:r>
      <w:proofErr w:type="spellStart"/>
      <w:r>
        <w:rPr>
          <w:snapToGrid w:val="0"/>
          <w:sz w:val="22"/>
          <w:szCs w:val="22"/>
        </w:rPr>
        <w:t>Iura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Edition</w:t>
      </w:r>
      <w:proofErr w:type="spellEnd"/>
      <w:r>
        <w:rPr>
          <w:snapToGrid w:val="0"/>
          <w:sz w:val="22"/>
          <w:szCs w:val="22"/>
        </w:rPr>
        <w:t>, 2008. 133s. ISBN 978-80-8078-231-3.</w:t>
      </w:r>
    </w:p>
    <w:p w14:paraId="2B3A9899" w14:textId="77777777" w:rsidR="00360E22" w:rsidRDefault="00360E22" w:rsidP="00360E22">
      <w:pPr>
        <w:rPr>
          <w:snapToGrid w:val="0"/>
          <w:sz w:val="22"/>
          <w:szCs w:val="22"/>
        </w:rPr>
      </w:pPr>
    </w:p>
    <w:p w14:paraId="01FCFD67" w14:textId="77777777" w:rsidR="00360E22" w:rsidRDefault="00360E22" w:rsidP="00360E22">
      <w:pPr>
        <w:rPr>
          <w:snapToGrid w:val="0"/>
          <w:sz w:val="22"/>
          <w:szCs w:val="22"/>
        </w:rPr>
      </w:pPr>
    </w:p>
    <w:p w14:paraId="704016D9" w14:textId="77777777" w:rsidR="00360E22" w:rsidRPr="00A14360" w:rsidRDefault="00360E22">
      <w:pPr>
        <w:rPr>
          <w:snapToGrid w:val="0"/>
          <w:sz w:val="22"/>
          <w:szCs w:val="22"/>
        </w:rPr>
      </w:pPr>
    </w:p>
    <w:p w14:paraId="397850E7" w14:textId="123D0707" w:rsidR="00A15E1A" w:rsidRPr="00A15E1A" w:rsidRDefault="00C74DEB">
      <w:pPr>
        <w:rPr>
          <w:b/>
          <w:snapToGrid w:val="0"/>
          <w:sz w:val="22"/>
          <w:szCs w:val="22"/>
        </w:rPr>
      </w:pPr>
      <w:r w:rsidRPr="00A14360">
        <w:rPr>
          <w:snapToGrid w:val="0"/>
          <w:sz w:val="22"/>
          <w:szCs w:val="22"/>
        </w:rPr>
        <w:t>Spracoval</w:t>
      </w:r>
      <w:r w:rsidR="00A814EE">
        <w:rPr>
          <w:snapToGrid w:val="0"/>
          <w:sz w:val="22"/>
          <w:szCs w:val="22"/>
        </w:rPr>
        <w:t>a</w:t>
      </w:r>
      <w:r w:rsidRPr="00A14360">
        <w:rPr>
          <w:snapToGrid w:val="0"/>
          <w:sz w:val="22"/>
          <w:szCs w:val="22"/>
        </w:rPr>
        <w:t xml:space="preserve">: </w:t>
      </w:r>
      <w:r w:rsidRPr="00A14360">
        <w:rPr>
          <w:b/>
          <w:snapToGrid w:val="0"/>
          <w:sz w:val="22"/>
          <w:szCs w:val="22"/>
        </w:rPr>
        <w:t xml:space="preserve">doc. JUDr. </w:t>
      </w:r>
      <w:r w:rsidR="00E20F7B">
        <w:rPr>
          <w:b/>
          <w:snapToGrid w:val="0"/>
          <w:sz w:val="22"/>
          <w:szCs w:val="22"/>
        </w:rPr>
        <w:t>Dagmar Lantajov</w:t>
      </w:r>
      <w:r w:rsidR="00A814EE">
        <w:rPr>
          <w:b/>
          <w:snapToGrid w:val="0"/>
          <w:sz w:val="22"/>
          <w:szCs w:val="22"/>
        </w:rPr>
        <w:t>á</w:t>
      </w:r>
      <w:r w:rsidRPr="00A14360">
        <w:rPr>
          <w:b/>
          <w:snapToGrid w:val="0"/>
          <w:sz w:val="22"/>
          <w:szCs w:val="22"/>
        </w:rPr>
        <w:t>, PhD.</w:t>
      </w:r>
    </w:p>
    <w:sectPr w:rsidR="00A15E1A" w:rsidRPr="00A15E1A" w:rsidSect="00B3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11"/>
    <w:rsid w:val="00165EE9"/>
    <w:rsid w:val="001A2E18"/>
    <w:rsid w:val="001A4447"/>
    <w:rsid w:val="001B43B8"/>
    <w:rsid w:val="001E26F6"/>
    <w:rsid w:val="00204C64"/>
    <w:rsid w:val="00291C46"/>
    <w:rsid w:val="002B3F11"/>
    <w:rsid w:val="002F2D89"/>
    <w:rsid w:val="0032680F"/>
    <w:rsid w:val="00360E22"/>
    <w:rsid w:val="004E6822"/>
    <w:rsid w:val="00510425"/>
    <w:rsid w:val="00624619"/>
    <w:rsid w:val="00660C27"/>
    <w:rsid w:val="006778A1"/>
    <w:rsid w:val="00685603"/>
    <w:rsid w:val="006E5ADF"/>
    <w:rsid w:val="008333B3"/>
    <w:rsid w:val="008548A0"/>
    <w:rsid w:val="00880E7C"/>
    <w:rsid w:val="00924E85"/>
    <w:rsid w:val="009F6AE7"/>
    <w:rsid w:val="00A14360"/>
    <w:rsid w:val="00A15E1A"/>
    <w:rsid w:val="00A37E83"/>
    <w:rsid w:val="00A507C8"/>
    <w:rsid w:val="00A67FBF"/>
    <w:rsid w:val="00A814EE"/>
    <w:rsid w:val="00B25309"/>
    <w:rsid w:val="00B312DD"/>
    <w:rsid w:val="00B808B6"/>
    <w:rsid w:val="00C05A9D"/>
    <w:rsid w:val="00C1314E"/>
    <w:rsid w:val="00C53CE2"/>
    <w:rsid w:val="00C74DEB"/>
    <w:rsid w:val="00CF16F9"/>
    <w:rsid w:val="00D32E15"/>
    <w:rsid w:val="00D7058B"/>
    <w:rsid w:val="00E20F7B"/>
    <w:rsid w:val="00E71533"/>
    <w:rsid w:val="00ED51A5"/>
    <w:rsid w:val="00EF6CD8"/>
    <w:rsid w:val="00F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D4F6"/>
  <w15:docId w15:val="{B035DBEF-85DA-4B6F-8495-D9A0355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B3F11"/>
    <w:pPr>
      <w:spacing w:line="360" w:lineRule="auto"/>
      <w:jc w:val="both"/>
    </w:pPr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F2D89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b/>
      <w:bCs/>
      <w:smallCap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eznamliteratury">
    <w:name w:val="seznam literatury"/>
    <w:basedOn w:val="Normlny"/>
    <w:rsid w:val="002B3F11"/>
    <w:pPr>
      <w:spacing w:before="120" w:line="240" w:lineRule="auto"/>
      <w:jc w:val="left"/>
    </w:pPr>
    <w:rPr>
      <w:lang w:val="cs-CZ"/>
    </w:rPr>
  </w:style>
  <w:style w:type="character" w:styleId="Hypertextovprepojenie">
    <w:name w:val="Hyperlink"/>
    <w:rsid w:val="002F2D89"/>
    <w:rPr>
      <w:color w:val="0000FF"/>
      <w:u w:val="single"/>
    </w:rPr>
  </w:style>
  <w:style w:type="character" w:customStyle="1" w:styleId="Nadpis1Char">
    <w:name w:val="Nadpis 1 Char"/>
    <w:link w:val="Nadpis1"/>
    <w:rsid w:val="002F2D89"/>
    <w:rPr>
      <w:b/>
      <w:bCs/>
      <w:smallCaps/>
      <w:sz w:val="24"/>
      <w:lang w:eastAsia="en-US"/>
    </w:rPr>
  </w:style>
  <w:style w:type="paragraph" w:styleId="Zkladntext">
    <w:name w:val="Body Text"/>
    <w:basedOn w:val="Normlny"/>
    <w:link w:val="ZkladntextChar"/>
    <w:rsid w:val="002F2D89"/>
    <w:pPr>
      <w:spacing w:line="240" w:lineRule="auto"/>
      <w:ind w:firstLine="709"/>
    </w:pPr>
    <w:rPr>
      <w:lang w:eastAsia="sk-SK"/>
    </w:rPr>
  </w:style>
  <w:style w:type="character" w:customStyle="1" w:styleId="ZkladntextChar">
    <w:name w:val="Základný text Char"/>
    <w:link w:val="Zkladntext"/>
    <w:rsid w:val="002F2D89"/>
    <w:rPr>
      <w:sz w:val="24"/>
    </w:rPr>
  </w:style>
  <w:style w:type="character" w:customStyle="1" w:styleId="TextpoznmkypodiarouChar">
    <w:name w:val="Text poznámky pod čiarou Char"/>
    <w:aliases w:val="Char Char,Char1 Char"/>
    <w:basedOn w:val="Predvolenpsmoodseku"/>
    <w:link w:val="Textpoznmkypodiarou"/>
    <w:uiPriority w:val="99"/>
    <w:semiHidden/>
    <w:locked/>
    <w:rsid w:val="00360E22"/>
    <w:rPr>
      <w:lang w:val="en-US" w:eastAsia="cs-CZ"/>
    </w:rPr>
  </w:style>
  <w:style w:type="paragraph" w:styleId="Textpoznmkypodiarou">
    <w:name w:val="footnote text"/>
    <w:aliases w:val="Char,Char1"/>
    <w:basedOn w:val="Normlny"/>
    <w:link w:val="TextpoznmkypodiarouChar"/>
    <w:uiPriority w:val="99"/>
    <w:semiHidden/>
    <w:unhideWhenUsed/>
    <w:rsid w:val="00360E22"/>
    <w:pPr>
      <w:widowControl w:val="0"/>
      <w:spacing w:line="240" w:lineRule="auto"/>
      <w:jc w:val="left"/>
    </w:pPr>
    <w:rPr>
      <w:sz w:val="20"/>
      <w:lang w:val="en-US"/>
    </w:rPr>
  </w:style>
  <w:style w:type="character" w:customStyle="1" w:styleId="TextpoznmkypodiarouChar1">
    <w:name w:val="Text poznámky pod čiarou Char1"/>
    <w:basedOn w:val="Predvolenpsmoodseku"/>
    <w:semiHidden/>
    <w:rsid w:val="00360E2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hr.coe.int/ECHR/EN/Header/Case-Law/HUDOC/HUDOC+database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Katedra medzinárodného práva a európskeho práva</vt:lpstr>
      <vt:lpstr>Katedra medzinárodného práva a európskeho práva</vt:lpstr>
    </vt:vector>
  </TitlesOfParts>
  <Company/>
  <LinksUpToDate>false</LinksUpToDate>
  <CharactersWithSpaces>3008</CharactersWithSpaces>
  <SharedDoc>false</SharedDoc>
  <HLinks>
    <vt:vector size="12" baseType="variant">
      <vt:variant>
        <vt:i4>5439563</vt:i4>
      </vt:variant>
      <vt:variant>
        <vt:i4>6</vt:i4>
      </vt:variant>
      <vt:variant>
        <vt:i4>0</vt:i4>
      </vt:variant>
      <vt:variant>
        <vt:i4>5</vt:i4>
      </vt:variant>
      <vt:variant>
        <vt:lpwstr>http://www.echr.coe.int/ECHR/EN/Header/Case-Law/HUDOC/HUDOC+database/</vt:lpwstr>
      </vt:variant>
      <vt:variant>
        <vt:lpwstr/>
      </vt:variant>
      <vt:variant>
        <vt:i4>1048604</vt:i4>
      </vt:variant>
      <vt:variant>
        <vt:i4>3</vt:i4>
      </vt:variant>
      <vt:variant>
        <vt:i4>0</vt:i4>
      </vt:variant>
      <vt:variant>
        <vt:i4>5</vt:i4>
      </vt:variant>
      <vt:variant>
        <vt:lpwstr>http://www.unhchr.ch/tbs/doc.nsf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medzinárodného práva a európskeho práva</dc:title>
  <dc:creator>user</dc:creator>
  <cp:lastModifiedBy>Lantajová Dagmar</cp:lastModifiedBy>
  <cp:revision>2</cp:revision>
  <dcterms:created xsi:type="dcterms:W3CDTF">2025-10-06T22:17:00Z</dcterms:created>
  <dcterms:modified xsi:type="dcterms:W3CDTF">2025-10-06T22:17:00Z</dcterms:modified>
</cp:coreProperties>
</file>