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2E" w:rsidRPr="00AB4CE6" w:rsidRDefault="00005B2E" w:rsidP="00005B2E">
      <w:pPr>
        <w:jc w:val="both"/>
        <w:rPr>
          <w:b/>
          <w:sz w:val="24"/>
          <w:lang w:val="sk-SK" w:eastAsia="cs-CZ"/>
        </w:rPr>
      </w:pPr>
      <w:bookmarkStart w:id="0" w:name="_GoBack"/>
      <w:bookmarkEnd w:id="0"/>
      <w:r w:rsidRPr="00AB4CE6">
        <w:rPr>
          <w:b/>
          <w:sz w:val="24"/>
          <w:lang w:val="sk-SK" w:eastAsia="cs-CZ"/>
        </w:rPr>
        <w:t>Prípad „Veľrybárstvo v Antarktíde“</w:t>
      </w:r>
      <w:r w:rsidRPr="00AB4CE6">
        <w:rPr>
          <w:rStyle w:val="Odkaznapoznmkupodiarou"/>
          <w:sz w:val="24"/>
          <w:szCs w:val="24"/>
          <w:lang w:val="sk-SK"/>
        </w:rPr>
        <w:t xml:space="preserve"> </w:t>
      </w:r>
      <w:r w:rsidRPr="00AB4CE6">
        <w:rPr>
          <w:rStyle w:val="Odkaznapoznmkupodiarou"/>
          <w:sz w:val="24"/>
          <w:szCs w:val="24"/>
          <w:lang w:val="sk-SK"/>
        </w:rPr>
        <w:footnoteReference w:id="1"/>
      </w:r>
    </w:p>
    <w:p w:rsidR="00005B2E" w:rsidRPr="00AB4CE6" w:rsidRDefault="00005B2E" w:rsidP="00005B2E">
      <w:pPr>
        <w:pStyle w:val="Nadpis1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AB4CE6">
        <w:rPr>
          <w:rFonts w:ascii="Times New Roman" w:hAnsi="Times New Roman" w:cs="Times New Roman"/>
          <w:b w:val="0"/>
          <w:sz w:val="24"/>
          <w:szCs w:val="24"/>
        </w:rPr>
        <w:t>(Medzinárodný súdny dvor, 13. marca 2014)</w:t>
      </w:r>
    </w:p>
    <w:p w:rsidR="00005B2E" w:rsidRDefault="00005B2E" w:rsidP="00005B2E">
      <w:pPr>
        <w:pStyle w:val="Nadpis1"/>
        <w:tabs>
          <w:tab w:val="left" w:pos="0"/>
        </w:tabs>
        <w:rPr>
          <w:rFonts w:ascii="Times New Roman" w:hAnsi="Times New Roman" w:cs="Times New Roman"/>
          <w:b w:val="0"/>
          <w:i/>
          <w:sz w:val="24"/>
          <w:szCs w:val="24"/>
        </w:rPr>
      </w:pPr>
      <w:r w:rsidRPr="00AB4CE6">
        <w:rPr>
          <w:rFonts w:ascii="Times New Roman" w:hAnsi="Times New Roman" w:cs="Times New Roman"/>
          <w:i/>
          <w:sz w:val="24"/>
          <w:szCs w:val="24"/>
        </w:rPr>
        <w:t>Tematický okruh:</w:t>
      </w:r>
      <w:r w:rsidRPr="00AB4CE6">
        <w:rPr>
          <w:rFonts w:ascii="Times New Roman" w:hAnsi="Times New Roman" w:cs="Times New Roman"/>
          <w:b w:val="0"/>
          <w:i/>
          <w:sz w:val="24"/>
          <w:szCs w:val="24"/>
        </w:rPr>
        <w:t xml:space="preserve"> Medzinárodné právo životného prostredia</w:t>
      </w:r>
    </w:p>
    <w:p w:rsidR="00005B2E" w:rsidRPr="00AB4CE6" w:rsidRDefault="00005B2E" w:rsidP="00005B2E">
      <w:pPr>
        <w:pStyle w:val="Zkladntext"/>
        <w:rPr>
          <w:lang w:val="sk-SK"/>
        </w:rPr>
      </w:pPr>
    </w:p>
    <w:p w:rsidR="00005B2E" w:rsidRPr="00AB4CE6" w:rsidRDefault="00005B2E" w:rsidP="00005B2E">
      <w:pPr>
        <w:spacing w:before="120"/>
        <w:ind w:firstLine="708"/>
        <w:jc w:val="both"/>
        <w:rPr>
          <w:sz w:val="24"/>
          <w:szCs w:val="24"/>
          <w:lang w:val="sk-SK"/>
        </w:rPr>
      </w:pPr>
      <w:r w:rsidRPr="00AB4CE6">
        <w:rPr>
          <w:sz w:val="24"/>
          <w:szCs w:val="24"/>
          <w:lang w:val="sk-SK"/>
        </w:rPr>
        <w:t xml:space="preserve">Prípad </w:t>
      </w:r>
      <w:r w:rsidRPr="00AB4CE6">
        <w:rPr>
          <w:i/>
          <w:sz w:val="24"/>
          <w:szCs w:val="24"/>
          <w:lang w:val="sk-SK"/>
        </w:rPr>
        <w:t>Veľrybárstvo v Antarktíde (2014)</w:t>
      </w:r>
      <w:r w:rsidRPr="00AB4CE6">
        <w:rPr>
          <w:sz w:val="24"/>
          <w:szCs w:val="24"/>
          <w:lang w:val="sk-SK"/>
        </w:rPr>
        <w:t xml:space="preserve"> iniciovala 31. mája 2010 Austrália, ktorá podala v kancelárii Medzinárodného súdneho dvora žalobu proti Japonsku v súvislosti japonskými snahami o rozsiahly program lovu veľrýb v rámci druhej fázy japonského veľrybárskeho programu výskumu na zvláštne povolenie v  Antarktída (názov programu v skratke je "JARPA II"). Dňa 20. novembra 2012 Nový Zéland, v súlade s článkom 63, odsek 2, Štatútu MSD, podal v kancelárii MSD vyhlásenie o intervencii v rámci prípadu. Uznesením zo 6. februára 2013 MSD rozhodol, že vyhlásenie o intervencii Nového Zélandu je prípustné. Austrália v ža</w:t>
      </w:r>
      <w:r>
        <w:rPr>
          <w:sz w:val="24"/>
          <w:szCs w:val="24"/>
          <w:lang w:val="sk-SK"/>
        </w:rPr>
        <w:t>l</w:t>
      </w:r>
      <w:r w:rsidRPr="00AB4CE6">
        <w:rPr>
          <w:sz w:val="24"/>
          <w:szCs w:val="24"/>
          <w:lang w:val="sk-SK"/>
        </w:rPr>
        <w:t>obe t</w:t>
      </w:r>
      <w:r>
        <w:rPr>
          <w:sz w:val="24"/>
          <w:szCs w:val="24"/>
          <w:lang w:val="sk-SK"/>
        </w:rPr>
        <w:t>vrdila, že J</w:t>
      </w:r>
      <w:r w:rsidRPr="00AB4CE6">
        <w:rPr>
          <w:sz w:val="24"/>
          <w:szCs w:val="24"/>
          <w:lang w:val="sk-SK"/>
        </w:rPr>
        <w:t xml:space="preserve">aponsko porušilo viacero hmotnoprávnych ustanovení </w:t>
      </w:r>
      <w:r w:rsidRPr="00AB4CE6">
        <w:rPr>
          <w:i/>
          <w:sz w:val="24"/>
          <w:szCs w:val="24"/>
          <w:lang w:val="sk-SK"/>
        </w:rPr>
        <w:t>Medzinárodného dohovoru o regulácii lovu veľrýb</w:t>
      </w:r>
      <w:r w:rsidRPr="00AB4CE6">
        <w:rPr>
          <w:sz w:val="24"/>
          <w:szCs w:val="24"/>
          <w:lang w:val="sk-SK"/>
        </w:rPr>
        <w:t xml:space="preserve"> (1946, ďalej aj anglická skratka ICRW alebo Dohovor) podľa článku VIII dohovoru a niektoré procesné ustanovenia (procesné podmienky) </w:t>
      </w:r>
      <w:r>
        <w:rPr>
          <w:sz w:val="24"/>
          <w:szCs w:val="24"/>
          <w:lang w:val="sk-SK"/>
        </w:rPr>
        <w:t>p</w:t>
      </w:r>
      <w:r w:rsidRPr="00AB4CE6">
        <w:rPr>
          <w:sz w:val="24"/>
          <w:szCs w:val="24"/>
          <w:lang w:val="sk-SK"/>
        </w:rPr>
        <w:t xml:space="preserve">odľa odseku 30 Prílohy </w:t>
      </w:r>
      <w:r>
        <w:rPr>
          <w:sz w:val="24"/>
          <w:szCs w:val="24"/>
          <w:lang w:val="sk-SK"/>
        </w:rPr>
        <w:t xml:space="preserve">(angl. Schedule) </w:t>
      </w:r>
      <w:r w:rsidRPr="00AB4CE6">
        <w:rPr>
          <w:sz w:val="24"/>
          <w:szCs w:val="24"/>
          <w:lang w:val="sk-SK"/>
        </w:rPr>
        <w:t xml:space="preserve">dohovoru. </w:t>
      </w:r>
    </w:p>
    <w:p w:rsidR="00005B2E" w:rsidRPr="00AB4CE6" w:rsidRDefault="00005B2E" w:rsidP="00005B2E">
      <w:pPr>
        <w:spacing w:before="120"/>
        <w:ind w:firstLine="708"/>
        <w:jc w:val="both"/>
        <w:rPr>
          <w:sz w:val="24"/>
          <w:szCs w:val="24"/>
          <w:lang w:val="sk-SK"/>
        </w:rPr>
      </w:pPr>
      <w:r w:rsidRPr="00AB4CE6">
        <w:rPr>
          <w:sz w:val="24"/>
          <w:szCs w:val="24"/>
          <w:lang w:val="sk-SK"/>
        </w:rPr>
        <w:t>Japonsko poprelo všetky tieto tvrdenia. S ohľadom na hmotnoprávne povinnosti, tvrdilo, že žiadne z ustanovení uvádzaných Austráliou neplatí pre JARPA II, pretože tento program bol prijatý pre účely vedeckého výskumu, a preto sa na neho vzťahuje oslobodenie podľa článku VIII, ods. 1 ICRW. Japonsko tiež poprelo akékoľvek porušenie procesných požiadaviek uvedených v odseku 30 Prílohy.</w:t>
      </w:r>
    </w:p>
    <w:p w:rsidR="00005B2E" w:rsidRPr="00AB4CE6" w:rsidRDefault="00005B2E" w:rsidP="00005B2E">
      <w:pPr>
        <w:spacing w:before="120"/>
        <w:ind w:firstLine="708"/>
        <w:jc w:val="both"/>
        <w:rPr>
          <w:sz w:val="24"/>
          <w:szCs w:val="24"/>
          <w:lang w:val="sk-SK"/>
        </w:rPr>
      </w:pPr>
      <w:r w:rsidRPr="00AB4CE6">
        <w:rPr>
          <w:sz w:val="24"/>
          <w:szCs w:val="24"/>
          <w:lang w:val="sk-SK"/>
        </w:rPr>
        <w:t xml:space="preserve">Pre rozhodnutie vo veci bolo pre MSD podstatné vyložiť ustanovenia článku VIII Medzinárodného dohovoru o regulácii lovu veľrýb, ako aj ustanovenie článku 30 spomenutej Prílohy Dohovoru. Článok VIII dohovoru má štyri odseky. Pre pochopenie uvedených ustanovení je tiež nutné uviesť, že dohovor v duchu článku III vytvára medzinárodný orgán - </w:t>
      </w:r>
      <w:r w:rsidRPr="00AB4CE6">
        <w:rPr>
          <w:i/>
          <w:sz w:val="24"/>
          <w:lang w:val="sk-SK"/>
        </w:rPr>
        <w:t>Medzinárodnú veľrybársku komisiu</w:t>
      </w:r>
      <w:r w:rsidRPr="00AB4CE6">
        <w:rPr>
          <w:i/>
          <w:sz w:val="24"/>
          <w:szCs w:val="24"/>
          <w:lang w:val="sk-SK"/>
        </w:rPr>
        <w:t xml:space="preserve"> (ďalej aj anglická skratka IWC)</w:t>
      </w:r>
      <w:r w:rsidRPr="00AB4CE6">
        <w:rPr>
          <w:sz w:val="24"/>
          <w:szCs w:val="24"/>
          <w:lang w:val="sk-SK"/>
        </w:rPr>
        <w:t xml:space="preserve">, ktorá </w:t>
      </w:r>
      <w:proofErr w:type="spellStart"/>
      <w:r w:rsidRPr="00AB4CE6">
        <w:rPr>
          <w:sz w:val="24"/>
          <w:szCs w:val="24"/>
          <w:lang w:val="sk-SK"/>
        </w:rPr>
        <w:t>o.i</w:t>
      </w:r>
      <w:proofErr w:type="spellEnd"/>
      <w:r w:rsidRPr="00AB4CE6">
        <w:rPr>
          <w:sz w:val="24"/>
          <w:szCs w:val="24"/>
          <w:lang w:val="sk-SK"/>
        </w:rPr>
        <w:t xml:space="preserve">. podľa spomenutej Prílohy  stanovuje limity pre komerčné a domorodé veľrybárstvo, ktoré môžu byť aj nulové a rieši všetky ostané aspekty lovu a výskumu. V článku VIII ods. ICRW </w:t>
      </w:r>
      <w:r w:rsidRPr="00AB4CE6">
        <w:rPr>
          <w:sz w:val="24"/>
          <w:lang w:val="sk-SK"/>
        </w:rPr>
        <w:t xml:space="preserve">1 je zakotvené, že bez ohľadu na ktorékoľvek ustanovenie Dohovoru môže ktorákoľvek zmluvná vláda udeliť ktorémukoľvek svojmu občanovi zvláštne povolenie oprávňujúce tohto občana usmrcovať, odchytávať a spracúvať </w:t>
      </w:r>
      <w:r>
        <w:rPr>
          <w:sz w:val="24"/>
          <w:lang w:val="sk-SK"/>
        </w:rPr>
        <w:t xml:space="preserve">veľryby a iné podobné morské cicavce (ďalej </w:t>
      </w:r>
      <w:proofErr w:type="spellStart"/>
      <w:r w:rsidRPr="00AB4CE6">
        <w:rPr>
          <w:sz w:val="24"/>
          <w:lang w:val="sk-SK"/>
        </w:rPr>
        <w:t>kitovce</w:t>
      </w:r>
      <w:proofErr w:type="spellEnd"/>
      <w:r>
        <w:rPr>
          <w:sz w:val="24"/>
          <w:lang w:val="sk-SK"/>
        </w:rPr>
        <w:t>)</w:t>
      </w:r>
      <w:r w:rsidRPr="00AB4CE6">
        <w:rPr>
          <w:sz w:val="24"/>
          <w:lang w:val="sk-SK"/>
        </w:rPr>
        <w:t xml:space="preserve"> pre účely vedeckého výskumu s výhradou obmedzenia týkajúceho sa počtu </w:t>
      </w:r>
      <w:proofErr w:type="spellStart"/>
      <w:r w:rsidRPr="00AB4CE6">
        <w:rPr>
          <w:sz w:val="24"/>
          <w:lang w:val="sk-SK"/>
        </w:rPr>
        <w:t>kitovcov</w:t>
      </w:r>
      <w:proofErr w:type="spellEnd"/>
      <w:r w:rsidRPr="00AB4CE6">
        <w:rPr>
          <w:sz w:val="24"/>
          <w:lang w:val="sk-SK"/>
        </w:rPr>
        <w:t xml:space="preserve"> a iných podmienok, ktoré uzná táto zmluvná vláda za vhodné, a usmrcovanie, odchytávanie a spracovanie </w:t>
      </w:r>
      <w:proofErr w:type="spellStart"/>
      <w:r w:rsidRPr="00AB4CE6">
        <w:rPr>
          <w:sz w:val="24"/>
          <w:lang w:val="sk-SK"/>
        </w:rPr>
        <w:t>kitovcov</w:t>
      </w:r>
      <w:proofErr w:type="spellEnd"/>
      <w:r w:rsidRPr="00AB4CE6">
        <w:rPr>
          <w:sz w:val="24"/>
          <w:lang w:val="sk-SK"/>
        </w:rPr>
        <w:t xml:space="preserve"> v súlade s ustanoveniami tohto článku bude vyňaté z pôsobnosti tohto dohovoru. Každá zmluvná vláda oznámi okamžite IWC udelenie všetkých takýchto oprávnení. Každá zmluvná vláda môže kedykoľvek zrušiť udelenie tohto zvláštneho povolenia.  Podľa článku VIII ods. 2 </w:t>
      </w:r>
      <w:proofErr w:type="spellStart"/>
      <w:r w:rsidRPr="00AB4CE6">
        <w:rPr>
          <w:sz w:val="24"/>
          <w:lang w:val="sk-SK"/>
        </w:rPr>
        <w:t>kitovce</w:t>
      </w:r>
      <w:proofErr w:type="spellEnd"/>
      <w:r w:rsidRPr="00AB4CE6">
        <w:rPr>
          <w:sz w:val="24"/>
          <w:lang w:val="sk-SK"/>
        </w:rPr>
        <w:t xml:space="preserve"> odchytené na základe vyššie uvedených zvláštnych povolení sa musia, pokiaľ je to možné, spracovať a s výťažkom spracovania je potrebné nakladať v súlade s pokynmi vydanými vládou, ktorá dané povolenie udelila. Podľa odseku 3 každá zmluvná vláda predkladá orgánu určenému IWC podľa možnosti, avšak maximálne v ročných intervaloch, vedecké informácie, ktoré získala v súvislosti s </w:t>
      </w:r>
      <w:proofErr w:type="spellStart"/>
      <w:r w:rsidRPr="00AB4CE6">
        <w:rPr>
          <w:sz w:val="24"/>
          <w:lang w:val="sk-SK"/>
        </w:rPr>
        <w:t>kitovcami</w:t>
      </w:r>
      <w:proofErr w:type="spellEnd"/>
      <w:r w:rsidRPr="00AB4CE6">
        <w:rPr>
          <w:sz w:val="24"/>
          <w:lang w:val="sk-SK"/>
        </w:rPr>
        <w:t xml:space="preserve"> a ich lovom vrátane výsledkov výskumu uskutočneného na základe ustanovení odseku 1 tohto článku a na základe ustanovení článku IV.  Podľa odseku 4 zmluvné vlády, uznávajúc, že </w:t>
      </w:r>
      <w:r w:rsidRPr="00AB4CE6">
        <w:rPr>
          <w:sz w:val="24"/>
          <w:lang w:val="sk-SK"/>
        </w:rPr>
        <w:lastRenderedPageBreak/>
        <w:t xml:space="preserve">nepretržité zhromažďovanie a analýza biologických údajov týkajúcich sa činnosti spracovateľských rybárskych lodí a pozemných staníc sú </w:t>
      </w:r>
      <w:proofErr w:type="spellStart"/>
      <w:r w:rsidRPr="00AB4CE6">
        <w:rPr>
          <w:sz w:val="24"/>
          <w:lang w:val="sk-SK"/>
        </w:rPr>
        <w:t>nepostrádateľné</w:t>
      </w:r>
      <w:proofErr w:type="spellEnd"/>
      <w:r w:rsidRPr="00AB4CE6">
        <w:rPr>
          <w:sz w:val="24"/>
          <w:lang w:val="sk-SK"/>
        </w:rPr>
        <w:t xml:space="preserve"> pre spoľahlivý a konštruktívny manažment veľrybárstva, príjmu všetky potrebné opatrenia na získavanie takýchto údajov. V článku 30 Prílohy je stanovené, že štáty majú záväzok poskytnúť IWC navrhované vedecké povolenia predtým ako budú vydané a v dostatočnom časovom predstihu aby Vedecký Výbor IWC mohol tieto povolenia preskúmať a komentovať. </w:t>
      </w:r>
      <w:r w:rsidRPr="00AB4CE6">
        <w:rPr>
          <w:sz w:val="24"/>
          <w:szCs w:val="24"/>
          <w:lang w:val="sk-SK"/>
        </w:rPr>
        <w:t>Vedecký výbor vytvorila v roku 1950 IWC  pričom tento orgán v súlade s odsekom 30 Prílohy, preskúmava a komentuje osobitné povolenia predtým, než sú vydané zmluvnými štátmi svojim štátnym príslušníkom na účely vedeckého výskumu podľa článku VIII, odsek 1 ICRW.</w:t>
      </w:r>
    </w:p>
    <w:p w:rsidR="00005B2E" w:rsidRPr="00AB4CE6" w:rsidRDefault="00005B2E" w:rsidP="00005B2E">
      <w:pPr>
        <w:spacing w:before="120"/>
        <w:ind w:firstLine="708"/>
        <w:jc w:val="both"/>
        <w:rPr>
          <w:sz w:val="24"/>
          <w:szCs w:val="24"/>
          <w:lang w:val="sk-SK"/>
        </w:rPr>
      </w:pPr>
      <w:r w:rsidRPr="00AB4CE6">
        <w:rPr>
          <w:sz w:val="24"/>
          <w:szCs w:val="24"/>
          <w:lang w:val="sk-SK"/>
        </w:rPr>
        <w:t xml:space="preserve">Právomoc MSD v tomto spore bola založená opčným prehlásením urobeným oboma zmluvnými stranami v súlade s článkom 36, odsek 2, Štatútu MSD. Japonsko popieralo právomoc MSD v spore s argumentom, že tento spor spadá do kategórie sporov, ktoré Austrália vyňala z právomoci MSD v nadväznosti na formuláciu jej spomenutého vlastného opčného vyhlásenia v duchu ktorej vyníma z právomoci MSD "akýkoľvek spor týkajúci sa alebo vzťahujúci sa k delimitácii morských oblastí vrátane pobrežného mora, výlučnej ekonomickej zóny a kontinentálneho </w:t>
      </w:r>
      <w:proofErr w:type="spellStart"/>
      <w:r w:rsidRPr="00AB4CE6">
        <w:rPr>
          <w:sz w:val="24"/>
          <w:szCs w:val="24"/>
          <w:lang w:val="sk-SK"/>
        </w:rPr>
        <w:t>šelfu</w:t>
      </w:r>
      <w:proofErr w:type="spellEnd"/>
      <w:r w:rsidRPr="00AB4CE6">
        <w:rPr>
          <w:sz w:val="24"/>
          <w:szCs w:val="24"/>
          <w:lang w:val="sk-SK"/>
        </w:rPr>
        <w:t xml:space="preserve"> v súvislosti s využívaním uvedených oblastí na alebo v blízkosti takejto morskej oblasti, ktorá je vymedzovaná". MSD túto námietku Japonska neprijal.</w:t>
      </w:r>
    </w:p>
    <w:p w:rsidR="00005B2E" w:rsidRPr="00AB4CE6" w:rsidRDefault="00005B2E" w:rsidP="00005B2E">
      <w:pPr>
        <w:spacing w:before="120"/>
        <w:ind w:firstLine="708"/>
        <w:jc w:val="both"/>
        <w:rPr>
          <w:b/>
          <w:i/>
          <w:sz w:val="24"/>
          <w:szCs w:val="24"/>
          <w:lang w:val="sk-SK"/>
        </w:rPr>
      </w:pPr>
      <w:r w:rsidRPr="00AB4CE6">
        <w:rPr>
          <w:b/>
          <w:i/>
          <w:sz w:val="24"/>
          <w:szCs w:val="24"/>
          <w:lang w:val="sk-SK"/>
        </w:rPr>
        <w:t>Podstata žaloby Austrálie</w:t>
      </w:r>
    </w:p>
    <w:p w:rsidR="00005B2E" w:rsidRPr="00AB4CE6" w:rsidRDefault="00005B2E" w:rsidP="00005B2E">
      <w:pPr>
        <w:spacing w:before="120"/>
        <w:ind w:firstLine="708"/>
        <w:jc w:val="both"/>
        <w:rPr>
          <w:sz w:val="24"/>
          <w:szCs w:val="24"/>
          <w:lang w:val="sk-SK"/>
        </w:rPr>
      </w:pPr>
      <w:r w:rsidRPr="00AB4CE6">
        <w:rPr>
          <w:sz w:val="24"/>
          <w:szCs w:val="24"/>
          <w:lang w:val="sk-SK"/>
        </w:rPr>
        <w:t xml:space="preserve">Austrália v návrhu tvrdila, že Japonsko v rámci programu JARPA II lovilo veľryby v rozpore so záväzkami v Japonsku v rámci </w:t>
      </w:r>
      <w:r w:rsidRPr="00AB4CE6">
        <w:rPr>
          <w:i/>
          <w:sz w:val="24"/>
          <w:szCs w:val="24"/>
          <w:lang w:val="sk-SK"/>
        </w:rPr>
        <w:t>Medzinárodného dohovoru o regulácii lovu veľrýb</w:t>
      </w:r>
      <w:r w:rsidRPr="00AB4CE6">
        <w:rPr>
          <w:sz w:val="24"/>
          <w:szCs w:val="24"/>
          <w:lang w:val="sk-SK"/>
        </w:rPr>
        <w:t xml:space="preserve"> (1946). Austrália v podaní ďalej tvrdila, že JARPA II nie je program pre účely vedeckého výskumu v zmysle článku VIII tohto dohovoru, a v dôsledku tohto Japonsko porušilo a naďalej porušuje tri podstatné povinnosti podľa Prílohy ICRW a to </w:t>
      </w:r>
      <w:r w:rsidRPr="00872323">
        <w:rPr>
          <w:i/>
          <w:sz w:val="24"/>
          <w:szCs w:val="24"/>
          <w:lang w:val="sk-SK"/>
        </w:rPr>
        <w:t>povinnosť dodržiavať moratórium stanovujúce nulové limity na usmrcovanie veľrýb všetkých populácií pre komerčné účely</w:t>
      </w:r>
      <w:r w:rsidRPr="00AB4CE6">
        <w:rPr>
          <w:sz w:val="24"/>
          <w:szCs w:val="24"/>
          <w:lang w:val="sk-SK"/>
        </w:rPr>
        <w:t xml:space="preserve">, </w:t>
      </w:r>
      <w:r w:rsidRPr="00872323">
        <w:rPr>
          <w:i/>
          <w:sz w:val="24"/>
          <w:szCs w:val="24"/>
          <w:lang w:val="sk-SK"/>
        </w:rPr>
        <w:t xml:space="preserve">povinnosť neuskutočňovať komerčný lov </w:t>
      </w:r>
      <w:proofErr w:type="spellStart"/>
      <w:r w:rsidRPr="00872323">
        <w:rPr>
          <w:i/>
          <w:sz w:val="24"/>
          <w:szCs w:val="24"/>
          <w:lang w:val="sk-SK"/>
        </w:rPr>
        <w:t>vráskavcov</w:t>
      </w:r>
      <w:proofErr w:type="spellEnd"/>
      <w:r w:rsidRPr="00872323">
        <w:rPr>
          <w:i/>
          <w:sz w:val="24"/>
          <w:szCs w:val="24"/>
          <w:lang w:val="sk-SK"/>
        </w:rPr>
        <w:t xml:space="preserve"> v Rezervácii južného oceánu</w:t>
      </w:r>
      <w:r w:rsidRPr="00AB4CE6">
        <w:rPr>
          <w:sz w:val="24"/>
          <w:szCs w:val="24"/>
          <w:lang w:val="sk-SK"/>
        </w:rPr>
        <w:t xml:space="preserve"> a </w:t>
      </w:r>
      <w:r w:rsidRPr="00872323">
        <w:rPr>
          <w:i/>
          <w:sz w:val="24"/>
          <w:szCs w:val="24"/>
          <w:lang w:val="sk-SK"/>
        </w:rPr>
        <w:t xml:space="preserve">povinnosť dodržiavať moratórium na chytanie, zabíjanie alebo nakladanie s veľrybami, okrem </w:t>
      </w:r>
      <w:proofErr w:type="spellStart"/>
      <w:r w:rsidRPr="00872323">
        <w:rPr>
          <w:i/>
          <w:sz w:val="24"/>
          <w:szCs w:val="24"/>
          <w:lang w:val="sk-SK"/>
        </w:rPr>
        <w:t>vráskavcov</w:t>
      </w:r>
      <w:proofErr w:type="spellEnd"/>
      <w:r w:rsidRPr="00872323">
        <w:rPr>
          <w:i/>
          <w:sz w:val="24"/>
          <w:szCs w:val="24"/>
          <w:lang w:val="sk-SK"/>
        </w:rPr>
        <w:t xml:space="preserve"> </w:t>
      </w:r>
      <w:proofErr w:type="spellStart"/>
      <w:r w:rsidRPr="00872323">
        <w:rPr>
          <w:i/>
          <w:sz w:val="24"/>
          <w:szCs w:val="24"/>
          <w:lang w:val="sk-SK"/>
        </w:rPr>
        <w:t>minke</w:t>
      </w:r>
      <w:proofErr w:type="spellEnd"/>
      <w:r w:rsidRPr="00872323">
        <w:rPr>
          <w:i/>
          <w:sz w:val="24"/>
          <w:szCs w:val="24"/>
          <w:lang w:val="sk-SK"/>
        </w:rPr>
        <w:t>, továrenskými loďami alebo lapačmi veľrýb pripevnenými k továrenským lodiam</w:t>
      </w:r>
      <w:r w:rsidRPr="00AB4CE6">
        <w:rPr>
          <w:sz w:val="24"/>
          <w:szCs w:val="24"/>
          <w:lang w:val="sk-SK"/>
        </w:rPr>
        <w:t xml:space="preserve">. Austrália ďalej tvrdila, že Japonsko porušilo </w:t>
      </w:r>
      <w:r w:rsidRPr="00872323">
        <w:rPr>
          <w:i/>
          <w:sz w:val="24"/>
          <w:szCs w:val="24"/>
          <w:lang w:val="sk-SK"/>
        </w:rPr>
        <w:t>procesné požiadavky pre navrhované vedecké povolenia</w:t>
      </w:r>
      <w:r w:rsidRPr="00AB4CE6">
        <w:rPr>
          <w:sz w:val="24"/>
          <w:szCs w:val="24"/>
          <w:lang w:val="sk-SK"/>
        </w:rPr>
        <w:t xml:space="preserve"> uvedené v odseku 30 Prílohy. </w:t>
      </w:r>
    </w:p>
    <w:p w:rsidR="00EA66E0" w:rsidRDefault="00EA66E0"/>
    <w:sectPr w:rsidR="00EA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B2E" w:rsidRDefault="00005B2E" w:rsidP="00005B2E">
      <w:r>
        <w:separator/>
      </w:r>
    </w:p>
  </w:endnote>
  <w:endnote w:type="continuationSeparator" w:id="0">
    <w:p w:rsidR="00005B2E" w:rsidRDefault="00005B2E" w:rsidP="0000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B2E" w:rsidRDefault="00005B2E" w:rsidP="00005B2E">
      <w:r>
        <w:separator/>
      </w:r>
    </w:p>
  </w:footnote>
  <w:footnote w:type="continuationSeparator" w:id="0">
    <w:p w:rsidR="00005B2E" w:rsidRDefault="00005B2E" w:rsidP="00005B2E">
      <w:r>
        <w:continuationSeparator/>
      </w:r>
    </w:p>
  </w:footnote>
  <w:footnote w:id="1">
    <w:p w:rsidR="00005B2E" w:rsidRPr="009F3298" w:rsidRDefault="00005B2E" w:rsidP="00005B2E">
      <w:pPr>
        <w:pStyle w:val="Textpoznmkypodiarou"/>
        <w:jc w:val="both"/>
        <w:rPr>
          <w:rFonts w:ascii="Times New Roman" w:hAnsi="Times New Roman"/>
        </w:rPr>
      </w:pPr>
      <w:r w:rsidRPr="009F3298">
        <w:rPr>
          <w:rStyle w:val="Odkaznapoznmkupodiarou"/>
          <w:rFonts w:ascii="Times New Roman" w:hAnsi="Times New Roman"/>
        </w:rPr>
        <w:footnoteRef/>
      </w:r>
      <w:r w:rsidRPr="009F3298">
        <w:rPr>
          <w:rFonts w:ascii="Times New Roman" w:hAnsi="Times New Roman"/>
        </w:rPr>
        <w:t xml:space="preserve"> </w:t>
      </w:r>
      <w:proofErr w:type="spellStart"/>
      <w:r w:rsidRPr="009F3298">
        <w:rPr>
          <w:rFonts w:ascii="Times New Roman" w:hAnsi="Times New Roman"/>
          <w:i/>
        </w:rPr>
        <w:t>Whaling</w:t>
      </w:r>
      <w:proofErr w:type="spellEnd"/>
      <w:r w:rsidRPr="009F3298">
        <w:rPr>
          <w:rFonts w:ascii="Times New Roman" w:hAnsi="Times New Roman"/>
          <w:i/>
        </w:rPr>
        <w:t xml:space="preserve"> in </w:t>
      </w:r>
      <w:proofErr w:type="spellStart"/>
      <w:r w:rsidRPr="009F3298">
        <w:rPr>
          <w:rFonts w:ascii="Times New Roman" w:hAnsi="Times New Roman"/>
          <w:i/>
        </w:rPr>
        <w:t>the</w:t>
      </w:r>
      <w:proofErr w:type="spellEnd"/>
      <w:r w:rsidRPr="009F3298">
        <w:rPr>
          <w:rFonts w:ascii="Times New Roman" w:hAnsi="Times New Roman"/>
          <w:i/>
        </w:rPr>
        <w:t xml:space="preserve"> </w:t>
      </w:r>
      <w:proofErr w:type="spellStart"/>
      <w:r w:rsidRPr="009F3298">
        <w:rPr>
          <w:rFonts w:ascii="Times New Roman" w:hAnsi="Times New Roman"/>
          <w:i/>
        </w:rPr>
        <w:t>Antarctic</w:t>
      </w:r>
      <w:proofErr w:type="spellEnd"/>
      <w:r w:rsidRPr="009F3298">
        <w:rPr>
          <w:rFonts w:ascii="Times New Roman" w:hAnsi="Times New Roman"/>
        </w:rPr>
        <w:t xml:space="preserve">, </w:t>
      </w:r>
      <w:proofErr w:type="spellStart"/>
      <w:r w:rsidRPr="009F3298">
        <w:rPr>
          <w:rFonts w:ascii="Times New Roman" w:hAnsi="Times New Roman"/>
        </w:rPr>
        <w:t>Australia</w:t>
      </w:r>
      <w:proofErr w:type="spellEnd"/>
      <w:r w:rsidRPr="009F3298">
        <w:rPr>
          <w:rFonts w:ascii="Times New Roman" w:hAnsi="Times New Roman"/>
        </w:rPr>
        <w:t xml:space="preserve"> v Japan: New </w:t>
      </w:r>
      <w:proofErr w:type="spellStart"/>
      <w:r w:rsidRPr="009F3298">
        <w:rPr>
          <w:rFonts w:ascii="Times New Roman" w:hAnsi="Times New Roman"/>
        </w:rPr>
        <w:t>Zealand</w:t>
      </w:r>
      <w:proofErr w:type="spellEnd"/>
      <w:r w:rsidRPr="009F3298">
        <w:rPr>
          <w:rFonts w:ascii="Times New Roman" w:hAnsi="Times New Roman"/>
        </w:rPr>
        <w:t xml:space="preserve"> </w:t>
      </w:r>
      <w:proofErr w:type="spellStart"/>
      <w:r w:rsidRPr="009F3298">
        <w:rPr>
          <w:rFonts w:ascii="Times New Roman" w:hAnsi="Times New Roman"/>
        </w:rPr>
        <w:t>intervening</w:t>
      </w:r>
      <w:proofErr w:type="spellEnd"/>
      <w:r w:rsidRPr="009F3298">
        <w:rPr>
          <w:rFonts w:ascii="Times New Roman" w:hAnsi="Times New Roman"/>
        </w:rPr>
        <w:t xml:space="preserve">, </w:t>
      </w:r>
      <w:proofErr w:type="spellStart"/>
      <w:r w:rsidRPr="009F3298">
        <w:rPr>
          <w:rFonts w:ascii="Times New Roman" w:hAnsi="Times New Roman"/>
        </w:rPr>
        <w:t>Judgement</w:t>
      </w:r>
      <w:proofErr w:type="spellEnd"/>
      <w:r w:rsidRPr="009F3298">
        <w:rPr>
          <w:rFonts w:ascii="Times New Roman" w:hAnsi="Times New Roman"/>
        </w:rPr>
        <w:t xml:space="preserve">. I.C.J. </w:t>
      </w:r>
      <w:proofErr w:type="spellStart"/>
      <w:r w:rsidRPr="009F3298">
        <w:rPr>
          <w:rFonts w:ascii="Times New Roman" w:hAnsi="Times New Roman"/>
        </w:rPr>
        <w:t>Reports</w:t>
      </w:r>
      <w:proofErr w:type="spellEnd"/>
      <w:r w:rsidRPr="009F3298">
        <w:rPr>
          <w:rFonts w:ascii="Times New Roman" w:hAnsi="Times New Roman"/>
        </w:rPr>
        <w:t xml:space="preserve">, 2014. Text rozsudku dostupný k 11.9.2014 na </w:t>
      </w:r>
      <w:proofErr w:type="spellStart"/>
      <w:r w:rsidRPr="009F3298">
        <w:rPr>
          <w:rFonts w:ascii="Times New Roman" w:hAnsi="Times New Roman"/>
        </w:rPr>
        <w:t>webstránke</w:t>
      </w:r>
      <w:proofErr w:type="spellEnd"/>
      <w:r w:rsidRPr="009F3298">
        <w:rPr>
          <w:rFonts w:ascii="Times New Roman" w:hAnsi="Times New Roman"/>
        </w:rPr>
        <w:t xml:space="preserve">: </w:t>
      </w:r>
      <w:hyperlink r:id="rId1" w:history="1">
        <w:r w:rsidRPr="009F3298">
          <w:rPr>
            <w:rStyle w:val="Hypertextovprepojenie"/>
            <w:rFonts w:ascii="Times New Roman" w:hAnsi="Times New Roman"/>
          </w:rPr>
          <w:t>http://www.icj-cij.org/docket/index.php?p1=3&amp;p2=3&amp;k</w:t>
        </w:r>
      </w:hyperlink>
      <w:r w:rsidRPr="009F3298">
        <w:rPr>
          <w:rFonts w:ascii="Times New Roman" w:hAnsi="Times New Roman"/>
        </w:rPr>
        <w:t>=64&amp;case=148&amp;code=aj&amp;p3=4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8C"/>
    <w:rsid w:val="00005B2E"/>
    <w:rsid w:val="00D8178C"/>
    <w:rsid w:val="00E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Zkladntext"/>
    <w:link w:val="Nadpis1Char"/>
    <w:qFormat/>
    <w:rsid w:val="00005B2E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5B2E"/>
    <w:rPr>
      <w:rFonts w:ascii="Arial" w:eastAsia="Lucida Sans Unicode" w:hAnsi="Arial" w:cs="Tahoma"/>
      <w:b/>
      <w:bCs/>
      <w:sz w:val="32"/>
      <w:szCs w:val="32"/>
      <w:lang w:eastAsia="sk-SK"/>
    </w:rPr>
  </w:style>
  <w:style w:type="paragraph" w:styleId="Zkladntext">
    <w:name w:val="Body Text"/>
    <w:basedOn w:val="Normlny"/>
    <w:link w:val="ZkladntextChar"/>
    <w:rsid w:val="00005B2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05B2E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unhideWhenUsed/>
    <w:rsid w:val="00005B2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05B2E"/>
    <w:pPr>
      <w:spacing w:after="200" w:line="276" w:lineRule="auto"/>
    </w:pPr>
    <w:rPr>
      <w:rFonts w:ascii="Calibri" w:eastAsia="Calibri" w:hAnsi="Calibr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05B2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005B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Zkladntext"/>
    <w:link w:val="Nadpis1Char"/>
    <w:qFormat/>
    <w:rsid w:val="00005B2E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05B2E"/>
    <w:rPr>
      <w:rFonts w:ascii="Arial" w:eastAsia="Lucida Sans Unicode" w:hAnsi="Arial" w:cs="Tahoma"/>
      <w:b/>
      <w:bCs/>
      <w:sz w:val="32"/>
      <w:szCs w:val="32"/>
      <w:lang w:eastAsia="sk-SK"/>
    </w:rPr>
  </w:style>
  <w:style w:type="paragraph" w:styleId="Zkladntext">
    <w:name w:val="Body Text"/>
    <w:basedOn w:val="Normlny"/>
    <w:link w:val="ZkladntextChar"/>
    <w:rsid w:val="00005B2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05B2E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unhideWhenUsed/>
    <w:rsid w:val="00005B2E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005B2E"/>
    <w:pPr>
      <w:spacing w:after="200" w:line="276" w:lineRule="auto"/>
    </w:pPr>
    <w:rPr>
      <w:rFonts w:ascii="Calibri" w:eastAsia="Calibri" w:hAnsi="Calibri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05B2E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005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j-cij.org/docket/index.php?p1=3&amp;p2=3&amp;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KMP</cp:lastModifiedBy>
  <cp:revision>2</cp:revision>
  <dcterms:created xsi:type="dcterms:W3CDTF">2017-02-15T11:18:00Z</dcterms:created>
  <dcterms:modified xsi:type="dcterms:W3CDTF">2017-02-15T11:18:00Z</dcterms:modified>
</cp:coreProperties>
</file>