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B8" w:rsidRPr="001D6EB8" w:rsidRDefault="001D6EB8" w:rsidP="00AB71B5">
      <w:pPr>
        <w:rPr>
          <w:b/>
        </w:rPr>
      </w:pPr>
      <w:bookmarkStart w:id="0" w:name="_GoBack"/>
      <w:bookmarkEnd w:id="0"/>
      <w:r w:rsidRPr="001D6EB8">
        <w:rPr>
          <w:b/>
        </w:rPr>
        <w:t>Konkurz a reštrukturalizácia - sylaby</w:t>
      </w:r>
    </w:p>
    <w:p w:rsidR="001D6EB8" w:rsidRDefault="001D6EB8" w:rsidP="00AB71B5"/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>Konkurzné právo – všeobecná charakteristika, pojem, funkcia</w:t>
      </w:r>
    </w:p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>Začatie konkurzného konania</w:t>
      </w:r>
    </w:p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>Vyhlásenie konkurzu</w:t>
      </w:r>
    </w:p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 xml:space="preserve">Prihlasovanie a popieranie pohľadávok, </w:t>
      </w:r>
      <w:proofErr w:type="spellStart"/>
      <w:r>
        <w:t>incidenčné</w:t>
      </w:r>
      <w:proofErr w:type="spellEnd"/>
      <w:r>
        <w:t xml:space="preserve"> konania</w:t>
      </w:r>
    </w:p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>Speňažovanie majetku podliehajúceho konkurzu</w:t>
      </w:r>
    </w:p>
    <w:p w:rsidR="00AB71B5" w:rsidRPr="00F174B1" w:rsidRDefault="00AB71B5" w:rsidP="00AB71B5">
      <w:pPr>
        <w:numPr>
          <w:ilvl w:val="0"/>
          <w:numId w:val="1"/>
        </w:numPr>
        <w:rPr>
          <w:b/>
          <w:sz w:val="22"/>
        </w:rPr>
      </w:pPr>
      <w:r>
        <w:t xml:space="preserve">Uspokojovanie </w:t>
      </w:r>
      <w:r w:rsidR="00C676A5">
        <w:t xml:space="preserve">uplatnených </w:t>
      </w:r>
      <w:r>
        <w:t>pohľadávok a rozvrh</w:t>
      </w:r>
    </w:p>
    <w:p w:rsidR="00AB71B5" w:rsidRPr="00AB71B5" w:rsidRDefault="00AB71B5" w:rsidP="00AB71B5">
      <w:pPr>
        <w:numPr>
          <w:ilvl w:val="0"/>
          <w:numId w:val="1"/>
        </w:numPr>
        <w:rPr>
          <w:b/>
        </w:rPr>
      </w:pPr>
      <w:r w:rsidRPr="00AB71B5">
        <w:t>Reštrukturalizačné konanie</w:t>
      </w:r>
    </w:p>
    <w:p w:rsidR="00AB71B5" w:rsidRDefault="00AB71B5" w:rsidP="00AB71B5">
      <w:pPr>
        <w:numPr>
          <w:ilvl w:val="0"/>
          <w:numId w:val="1"/>
        </w:numPr>
      </w:pPr>
      <w:r w:rsidRPr="00AB71B5">
        <w:t>Reštrukturalizačný posudok a reštrukturalizačný plán</w:t>
      </w:r>
    </w:p>
    <w:p w:rsidR="00AB71B5" w:rsidRDefault="00AB71B5" w:rsidP="00AB71B5">
      <w:pPr>
        <w:numPr>
          <w:ilvl w:val="0"/>
          <w:numId w:val="1"/>
        </w:numPr>
      </w:pPr>
      <w:r>
        <w:t>Oddlženie – všeobecná charakteristika</w:t>
      </w:r>
    </w:p>
    <w:p w:rsidR="00AB71B5" w:rsidRDefault="00AB71B5" w:rsidP="00AB71B5">
      <w:pPr>
        <w:numPr>
          <w:ilvl w:val="0"/>
          <w:numId w:val="1"/>
        </w:numPr>
      </w:pPr>
      <w:r>
        <w:t>Oddlženie konkurzom</w:t>
      </w:r>
    </w:p>
    <w:p w:rsidR="00AB71B5" w:rsidRPr="00AB71B5" w:rsidRDefault="00AB71B5" w:rsidP="00AB71B5">
      <w:pPr>
        <w:numPr>
          <w:ilvl w:val="0"/>
          <w:numId w:val="1"/>
        </w:numPr>
      </w:pPr>
      <w:r>
        <w:t>Oddlženie splátkovým kalendárom</w:t>
      </w:r>
    </w:p>
    <w:p w:rsidR="00AB71B5" w:rsidRPr="00AB71B5" w:rsidRDefault="00AB71B5" w:rsidP="00AB71B5">
      <w:pPr>
        <w:numPr>
          <w:ilvl w:val="0"/>
          <w:numId w:val="1"/>
        </w:numPr>
      </w:pPr>
      <w:r w:rsidRPr="00AB71B5">
        <w:t>Cezhraničné konkurzy</w:t>
      </w:r>
    </w:p>
    <w:p w:rsidR="002F1C88" w:rsidRDefault="002F1C88"/>
    <w:sectPr w:rsidR="002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4039"/>
    <w:multiLevelType w:val="hybridMultilevel"/>
    <w:tmpl w:val="3FD077C6"/>
    <w:lvl w:ilvl="0" w:tplc="2EC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B5"/>
    <w:rsid w:val="001D6EB8"/>
    <w:rsid w:val="002F1C88"/>
    <w:rsid w:val="00AB71B5"/>
    <w:rsid w:val="00C3591F"/>
    <w:rsid w:val="00C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347BF-C672-442F-B7A4-2D5C116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Sojka</dc:creator>
  <cp:keywords/>
  <dc:description/>
  <cp:lastModifiedBy>Peter Meszaros</cp:lastModifiedBy>
  <cp:revision>2</cp:revision>
  <dcterms:created xsi:type="dcterms:W3CDTF">2018-02-20T12:13:00Z</dcterms:created>
  <dcterms:modified xsi:type="dcterms:W3CDTF">2018-02-20T12:13:00Z</dcterms:modified>
</cp:coreProperties>
</file>