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62" w:rsidRPr="00B629E2" w:rsidRDefault="008E4AB7" w:rsidP="008E4A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B629E2">
        <w:rPr>
          <w:rFonts w:ascii="Times New Roman" w:eastAsia="Calibri" w:hAnsi="Times New Roman" w:cs="Times New Roman"/>
          <w:b/>
          <w:sz w:val="32"/>
          <w:szCs w:val="32"/>
        </w:rPr>
        <w:t>Syllabus</w:t>
      </w:r>
      <w:proofErr w:type="spellEnd"/>
      <w:r w:rsidRPr="00B629E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629E2" w:rsidRPr="00B629E2">
        <w:rPr>
          <w:rFonts w:ascii="Times New Roman" w:eastAsia="Calibri" w:hAnsi="Times New Roman" w:cs="Times New Roman"/>
          <w:b/>
          <w:sz w:val="32"/>
          <w:szCs w:val="32"/>
        </w:rPr>
        <w:t xml:space="preserve">to </w:t>
      </w:r>
      <w:proofErr w:type="spellStart"/>
      <w:r w:rsidR="00B629E2" w:rsidRPr="00B629E2">
        <w:rPr>
          <w:rFonts w:ascii="Times New Roman" w:eastAsia="Calibri" w:hAnsi="Times New Roman" w:cs="Times New Roman"/>
          <w:b/>
          <w:sz w:val="32"/>
          <w:szCs w:val="32"/>
        </w:rPr>
        <w:t>the</w:t>
      </w:r>
      <w:proofErr w:type="spellEnd"/>
      <w:r w:rsidR="00B629E2" w:rsidRPr="00B629E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B629E2" w:rsidRPr="00B629E2">
        <w:rPr>
          <w:rFonts w:ascii="Times New Roman" w:eastAsia="Calibri" w:hAnsi="Times New Roman" w:cs="Times New Roman"/>
          <w:b/>
          <w:sz w:val="32"/>
          <w:szCs w:val="32"/>
        </w:rPr>
        <w:t>course</w:t>
      </w:r>
      <w:proofErr w:type="spellEnd"/>
      <w:r w:rsidRPr="00B629E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32181" w:rsidRPr="00B629E2">
        <w:rPr>
          <w:rFonts w:ascii="Times New Roman" w:hAnsi="Times New Roman" w:cs="Times New Roman"/>
          <w:b/>
          <w:noProof/>
          <w:sz w:val="32"/>
          <w:szCs w:val="32"/>
          <w:lang w:val="en-GB"/>
        </w:rPr>
        <w:t>Jurisprudence</w:t>
      </w:r>
      <w:r w:rsidR="00D32181" w:rsidRPr="00B629E2">
        <w:rPr>
          <w:rFonts w:ascii="Times New Roman" w:hAnsi="Times New Roman" w:cs="Times New Roman"/>
          <w:b/>
          <w:sz w:val="32"/>
          <w:szCs w:val="32"/>
          <w:lang w:val="en-GB"/>
        </w:rPr>
        <w:t xml:space="preserve"> of the European Court of Human Rights</w:t>
      </w:r>
      <w:r w:rsidR="00B629E2" w:rsidRPr="00B629E2">
        <w:rPr>
          <w:rStyle w:val="Odkaznapoznmkupodiarou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:rsidR="00D32181" w:rsidRPr="00B629E2" w:rsidRDefault="00D32181" w:rsidP="008E4A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32181" w:rsidRPr="00B629E2" w:rsidRDefault="00D32181" w:rsidP="008E4AB7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>1. Introduction to the protection of human rights and fundamental freedoms under the Convention. European Convention in the system of international instruments of protection of human rights.</w:t>
      </w:r>
    </w:p>
    <w:p w:rsidR="00D32181" w:rsidRPr="00B629E2" w:rsidRDefault="00D32181" w:rsidP="00B629E2">
      <w:pPr>
        <w:pStyle w:val="Odsekzoznamu"/>
        <w:numPr>
          <w:ilvl w:val="0"/>
          <w:numId w:val="2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the making of the Convention and its evolution</w:t>
      </w:r>
    </w:p>
    <w:p w:rsidR="00D32181" w:rsidRPr="00B629E2" w:rsidRDefault="00D32181" w:rsidP="00B629E2">
      <w:pPr>
        <w:pStyle w:val="Odsekzoznamu"/>
        <w:numPr>
          <w:ilvl w:val="0"/>
          <w:numId w:val="2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the position of the Convention among other means of protection of human rights</w:t>
      </w:r>
    </w:p>
    <w:p w:rsidR="00D32181" w:rsidRPr="00B629E2" w:rsidRDefault="00D32181" w:rsidP="00B629E2">
      <w:pPr>
        <w:pStyle w:val="Odsekzoznamu"/>
        <w:numPr>
          <w:ilvl w:val="0"/>
          <w:numId w:val="2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function and competence of the European Court of Human Rights</w:t>
      </w:r>
    </w:p>
    <w:p w:rsidR="00D32181" w:rsidRPr="00B629E2" w:rsidRDefault="00D32181" w:rsidP="008E4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2181" w:rsidRPr="00B629E2" w:rsidRDefault="00D32181" w:rsidP="008E4AB7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>2. Interpretation of the Convention. The procedure before ECtHR.</w:t>
      </w:r>
    </w:p>
    <w:p w:rsidR="00D32181" w:rsidRPr="00B629E2" w:rsidRDefault="00D32181" w:rsidP="00B629E2">
      <w:pPr>
        <w:pStyle w:val="Odsekzoznamu"/>
        <w:numPr>
          <w:ilvl w:val="0"/>
          <w:numId w:val="3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fundamental doctrines of interpretation of the Convention</w:t>
      </w:r>
    </w:p>
    <w:p w:rsidR="00D32181" w:rsidRPr="00B629E2" w:rsidRDefault="00D32181" w:rsidP="00B629E2">
      <w:pPr>
        <w:pStyle w:val="Odsekzoznamu"/>
        <w:numPr>
          <w:ilvl w:val="0"/>
          <w:numId w:val="3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applicability of the Vienna Convention on the Law of Treaties on Convention</w:t>
      </w:r>
    </w:p>
    <w:p w:rsidR="00D32181" w:rsidRPr="00B629E2" w:rsidRDefault="00D32181" w:rsidP="00B629E2">
      <w:pPr>
        <w:pStyle w:val="Odsekzoznamu"/>
        <w:numPr>
          <w:ilvl w:val="0"/>
          <w:numId w:val="3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procedure before the European Court of Human Rights</w:t>
      </w:r>
    </w:p>
    <w:p w:rsidR="00D32181" w:rsidRPr="00B629E2" w:rsidRDefault="00D32181" w:rsidP="008E4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2181" w:rsidRPr="00B629E2" w:rsidRDefault="00D32181" w:rsidP="008E4AB7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>3. Admissibility of the complaints with a focus on the “victim of violation of rights” condition. The Convention as the living instrument of protection of human rights.</w:t>
      </w:r>
    </w:p>
    <w:p w:rsidR="00D32181" w:rsidRPr="00B629E2" w:rsidRDefault="00D32181" w:rsidP="00B629E2">
      <w:pPr>
        <w:pStyle w:val="Odsekzoznamu"/>
        <w:numPr>
          <w:ilvl w:val="0"/>
          <w:numId w:val="3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conditions of admissibility of the complaint and the case-law concerning them</w:t>
      </w:r>
    </w:p>
    <w:p w:rsidR="00D32181" w:rsidRPr="00B629E2" w:rsidRDefault="00D32181" w:rsidP="00B629E2">
      <w:pPr>
        <w:pStyle w:val="Odsekzoznamu"/>
        <w:numPr>
          <w:ilvl w:val="0"/>
          <w:numId w:val="3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the philosophical background behind the doctrine of </w:t>
      </w:r>
      <w:r w:rsidR="001A0CBD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629E2">
        <w:rPr>
          <w:rFonts w:ascii="Times New Roman" w:hAnsi="Times New Roman" w:cs="Times New Roman"/>
          <w:noProof/>
          <w:sz w:val="24"/>
          <w:szCs w:val="24"/>
          <w:lang w:val="en-GB"/>
        </w:rPr>
        <w:t>living</w:t>
      </w: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convention (evolutive approach to interpretation)</w:t>
      </w:r>
    </w:p>
    <w:p w:rsidR="00D32181" w:rsidRPr="00B629E2" w:rsidRDefault="00D32181" w:rsidP="00B629E2">
      <w:pPr>
        <w:pStyle w:val="Odsekzoznamu"/>
        <w:numPr>
          <w:ilvl w:val="0"/>
          <w:numId w:val="31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benefits and disadvantages of the doctrine of </w:t>
      </w:r>
      <w:r w:rsidR="001A0CBD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629E2">
        <w:rPr>
          <w:rFonts w:ascii="Times New Roman" w:hAnsi="Times New Roman" w:cs="Times New Roman"/>
          <w:noProof/>
          <w:sz w:val="24"/>
          <w:szCs w:val="24"/>
          <w:lang w:val="en-GB"/>
        </w:rPr>
        <w:t>living</w:t>
      </w: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convention</w:t>
      </w:r>
    </w:p>
    <w:p w:rsidR="00D32181" w:rsidRPr="00B629E2" w:rsidRDefault="00D32181" w:rsidP="008E4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2181" w:rsidRPr="00B629E2" w:rsidRDefault="00D32181" w:rsidP="008E4AB7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>4. Right to life. The doctrine of the margin of appreciation I.</w:t>
      </w:r>
    </w:p>
    <w:p w:rsidR="00D32181" w:rsidRPr="00B629E2" w:rsidRDefault="00D32181" w:rsidP="00B629E2">
      <w:pPr>
        <w:pStyle w:val="Odsekzoznamu"/>
        <w:numPr>
          <w:ilvl w:val="0"/>
          <w:numId w:val="3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positive and negative obligation of state while protecting </w:t>
      </w:r>
      <w:r w:rsidR="001A0CBD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629E2">
        <w:rPr>
          <w:rFonts w:ascii="Times New Roman" w:hAnsi="Times New Roman" w:cs="Times New Roman"/>
          <w:noProof/>
          <w:sz w:val="24"/>
          <w:szCs w:val="24"/>
          <w:lang w:val="en-GB"/>
        </w:rPr>
        <w:t>right</w:t>
      </w: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to life</w:t>
      </w:r>
      <w:r w:rsidR="00D467DA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(shoot-to-kill policy, requirements of </w:t>
      </w:r>
      <w:r w:rsidR="001A0CBD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467DA" w:rsidRPr="00B629E2">
        <w:rPr>
          <w:rFonts w:ascii="Times New Roman" w:hAnsi="Times New Roman" w:cs="Times New Roman"/>
          <w:noProof/>
          <w:sz w:val="24"/>
          <w:szCs w:val="24"/>
          <w:lang w:val="en-GB"/>
        </w:rPr>
        <w:t>investigation</w:t>
      </w:r>
      <w:r w:rsidR="00D467DA" w:rsidRPr="00B629E2">
        <w:rPr>
          <w:rFonts w:ascii="Times New Roman" w:hAnsi="Times New Roman" w:cs="Times New Roman"/>
          <w:sz w:val="24"/>
          <w:szCs w:val="24"/>
          <w:lang w:val="en-GB"/>
        </w:rPr>
        <w:t>, etc.)</w:t>
      </w:r>
    </w:p>
    <w:p w:rsidR="00D32181" w:rsidRPr="00B629E2" w:rsidRDefault="00D32181" w:rsidP="00B629E2">
      <w:pPr>
        <w:pStyle w:val="Odsekzoznamu"/>
        <w:numPr>
          <w:ilvl w:val="0"/>
          <w:numId w:val="3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Convention and the artificial insemination – </w:t>
      </w:r>
      <w:r w:rsidR="001A0CBD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629E2">
        <w:rPr>
          <w:rFonts w:ascii="Times New Roman" w:hAnsi="Times New Roman" w:cs="Times New Roman"/>
          <w:noProof/>
          <w:sz w:val="24"/>
          <w:szCs w:val="24"/>
          <w:lang w:val="en-GB"/>
        </w:rPr>
        <w:t>question</w:t>
      </w: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of the right to life of embryos</w:t>
      </w:r>
    </w:p>
    <w:p w:rsidR="00D32181" w:rsidRPr="00B629E2" w:rsidRDefault="00D32181" w:rsidP="00B629E2">
      <w:pPr>
        <w:pStyle w:val="Odsekzoznamu"/>
        <w:numPr>
          <w:ilvl w:val="0"/>
          <w:numId w:val="3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evolution of the doctrine of the margin of appreciation</w:t>
      </w:r>
      <w:r w:rsidR="00D467DA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(narrow v. broad margin)</w:t>
      </w:r>
    </w:p>
    <w:p w:rsidR="00D32181" w:rsidRPr="00B629E2" w:rsidRDefault="00D32181" w:rsidP="008E4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2181" w:rsidRPr="00B629E2" w:rsidRDefault="00D32181" w:rsidP="008E4AB7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>5. Right to life. The doctrine of the margin of appreciation II.</w:t>
      </w:r>
    </w:p>
    <w:p w:rsidR="000A605A" w:rsidRPr="00B629E2" w:rsidRDefault="000A605A" w:rsidP="00B629E2">
      <w:pPr>
        <w:pStyle w:val="Odsekzoznamu"/>
        <w:numPr>
          <w:ilvl w:val="0"/>
          <w:numId w:val="29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Convention and euthanasia</w:t>
      </w:r>
    </w:p>
    <w:p w:rsidR="000A605A" w:rsidRPr="00B629E2" w:rsidRDefault="000A605A" w:rsidP="00B629E2">
      <w:pPr>
        <w:pStyle w:val="Odsekzoznamu"/>
        <w:numPr>
          <w:ilvl w:val="0"/>
          <w:numId w:val="29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Convention and termination of pregnancy</w:t>
      </w:r>
    </w:p>
    <w:p w:rsidR="00D467DA" w:rsidRPr="00B629E2" w:rsidRDefault="00D467DA" w:rsidP="00B629E2">
      <w:pPr>
        <w:pStyle w:val="Odsekzoznamu"/>
        <w:numPr>
          <w:ilvl w:val="0"/>
          <w:numId w:val="29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benefits and disadvantages of the doctrine of </w:t>
      </w:r>
      <w:r w:rsidR="001A0CBD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629E2">
        <w:rPr>
          <w:rFonts w:ascii="Times New Roman" w:hAnsi="Times New Roman" w:cs="Times New Roman"/>
          <w:noProof/>
          <w:sz w:val="24"/>
          <w:szCs w:val="24"/>
          <w:lang w:val="en-GB"/>
        </w:rPr>
        <w:t>margin</w:t>
      </w: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of interpretation</w:t>
      </w:r>
    </w:p>
    <w:p w:rsidR="00D32181" w:rsidRPr="00B629E2" w:rsidRDefault="00D32181" w:rsidP="008E4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2181" w:rsidRPr="00B629E2" w:rsidRDefault="00D32181" w:rsidP="008E4AB7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>6. Prohibition of torture, inhum</w:t>
      </w:r>
      <w:bookmarkStart w:id="0" w:name="_GoBack"/>
      <w:bookmarkEnd w:id="0"/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>an and degrading treatment.</w:t>
      </w:r>
    </w:p>
    <w:p w:rsidR="00D32181" w:rsidRPr="00B629E2" w:rsidRDefault="00214A68" w:rsidP="00B629E2">
      <w:pPr>
        <w:pStyle w:val="Odsekzoznamu"/>
        <w:numPr>
          <w:ilvl w:val="0"/>
          <w:numId w:val="2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positive and negative obligation not to torture</w:t>
      </w:r>
    </w:p>
    <w:p w:rsidR="00214A68" w:rsidRPr="00B629E2" w:rsidRDefault="00214A68" w:rsidP="00B629E2">
      <w:pPr>
        <w:pStyle w:val="Odsekzoznamu"/>
        <w:numPr>
          <w:ilvl w:val="0"/>
          <w:numId w:val="2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absoluteness of the right not to be tortured</w:t>
      </w:r>
    </w:p>
    <w:p w:rsidR="00214A68" w:rsidRPr="00B629E2" w:rsidRDefault="00214A68" w:rsidP="00B629E2">
      <w:pPr>
        <w:pStyle w:val="Odsekzoznamu"/>
        <w:numPr>
          <w:ilvl w:val="0"/>
          <w:numId w:val="2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lastRenderedPageBreak/>
        <w:t>case-law of the ECtHR and what constitutes torture</w:t>
      </w:r>
    </w:p>
    <w:p w:rsidR="00D30EA7" w:rsidRPr="00B629E2" w:rsidRDefault="00D30EA7" w:rsidP="008E4AB7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2181" w:rsidRPr="00B629E2" w:rsidRDefault="00D32181" w:rsidP="008E4AB7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7. Right to liberty and security, no punishment without law with a focus on </w:t>
      </w:r>
      <w:r w:rsidRPr="00B629E2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aretroactivity</w:t>
      </w: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 the punishment.</w:t>
      </w:r>
    </w:p>
    <w:p w:rsidR="00D30EA7" w:rsidRPr="00B629E2" w:rsidRDefault="00D30EA7" w:rsidP="00B629E2">
      <w:pPr>
        <w:pStyle w:val="Odsekzoznamu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roots of the right to liberty and its casuistic wording in the Convention</w:t>
      </w:r>
    </w:p>
    <w:p w:rsidR="00D30EA7" w:rsidRPr="00B629E2" w:rsidRDefault="00D30EA7" w:rsidP="00B629E2">
      <w:pPr>
        <w:pStyle w:val="Odsekzoznamu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legitimate restrictions of the right to liberty</w:t>
      </w:r>
    </w:p>
    <w:p w:rsidR="00D30EA7" w:rsidRPr="00B629E2" w:rsidRDefault="00D30EA7" w:rsidP="00B629E2">
      <w:pPr>
        <w:pStyle w:val="Odsekzoznamu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retroactivity and transition to justice</w:t>
      </w:r>
    </w:p>
    <w:p w:rsidR="00D32181" w:rsidRPr="00B629E2" w:rsidRDefault="00D32181" w:rsidP="008E4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2181" w:rsidRPr="00B629E2" w:rsidRDefault="00D32181" w:rsidP="008E4AB7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>8. Right to a fair trial.</w:t>
      </w:r>
    </w:p>
    <w:p w:rsidR="00365A49" w:rsidRPr="00B629E2" w:rsidRDefault="00365A49" w:rsidP="00B629E2">
      <w:pPr>
        <w:pStyle w:val="Odsekzoznamu"/>
        <w:numPr>
          <w:ilvl w:val="0"/>
          <w:numId w:val="2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importance of </w:t>
      </w:r>
      <w:r w:rsidRPr="00B629E2">
        <w:rPr>
          <w:rFonts w:ascii="Times New Roman" w:hAnsi="Times New Roman" w:cs="Times New Roman"/>
          <w:noProof/>
          <w:sz w:val="24"/>
          <w:szCs w:val="24"/>
          <w:lang w:val="en-GB"/>
        </w:rPr>
        <w:t>procedural</w:t>
      </w: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rights</w:t>
      </w:r>
    </w:p>
    <w:p w:rsidR="00365A49" w:rsidRPr="00B629E2" w:rsidRDefault="001A0CBD" w:rsidP="00B629E2">
      <w:pPr>
        <w:pStyle w:val="Odsekzoznamu"/>
        <w:numPr>
          <w:ilvl w:val="0"/>
          <w:numId w:val="2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65A49" w:rsidRPr="00B629E2">
        <w:rPr>
          <w:rFonts w:ascii="Times New Roman" w:hAnsi="Times New Roman" w:cs="Times New Roman"/>
          <w:noProof/>
          <w:sz w:val="24"/>
          <w:szCs w:val="24"/>
          <w:lang w:val="en-GB"/>
        </w:rPr>
        <w:t>scope</w:t>
      </w:r>
      <w:r w:rsidR="00365A49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of the right (no criminal law, limited </w:t>
      </w:r>
      <w:r w:rsidR="003C2293" w:rsidRPr="00B629E2">
        <w:rPr>
          <w:rFonts w:ascii="Times New Roman" w:hAnsi="Times New Roman" w:cs="Times New Roman"/>
          <w:sz w:val="24"/>
          <w:szCs w:val="24"/>
          <w:lang w:val="en-GB"/>
        </w:rPr>
        <w:t>access for public officials)</w:t>
      </w:r>
    </w:p>
    <w:p w:rsidR="003C2293" w:rsidRPr="00B629E2" w:rsidRDefault="003C2293" w:rsidP="00B629E2">
      <w:pPr>
        <w:pStyle w:val="Odsekzoznamu"/>
        <w:numPr>
          <w:ilvl w:val="0"/>
          <w:numId w:val="2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case-law concerning each guarantee of the fair trial</w:t>
      </w:r>
    </w:p>
    <w:p w:rsidR="00D32181" w:rsidRPr="00B629E2" w:rsidRDefault="00D32181" w:rsidP="008E4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2181" w:rsidRPr="00B629E2" w:rsidRDefault="00D32181" w:rsidP="008E4AB7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>9. Right to private and family life. The doctrine of proportionality in the jurisprudence of the ECtHR.</w:t>
      </w:r>
    </w:p>
    <w:p w:rsidR="00D32181" w:rsidRPr="00B629E2" w:rsidRDefault="00995EAD" w:rsidP="00B629E2">
      <w:pPr>
        <w:pStyle w:val="Odsekzoznamu"/>
        <w:numPr>
          <w:ilvl w:val="0"/>
          <w:numId w:val="25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evolution of the concept of the private and family right and the change of the scope of the Art. 8 of the Convention</w:t>
      </w:r>
    </w:p>
    <w:p w:rsidR="00995EAD" w:rsidRPr="00B629E2" w:rsidRDefault="00995EAD" w:rsidP="00B629E2">
      <w:pPr>
        <w:pStyle w:val="Odsekzoznamu"/>
        <w:numPr>
          <w:ilvl w:val="0"/>
          <w:numId w:val="25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legitimate restrictions of the right to privacy and the new dynamics of the right of privacy</w:t>
      </w:r>
    </w:p>
    <w:p w:rsidR="00995EAD" w:rsidRPr="00B629E2" w:rsidRDefault="00995EAD" w:rsidP="00B629E2">
      <w:pPr>
        <w:pStyle w:val="Odsekzoznamu"/>
        <w:numPr>
          <w:ilvl w:val="0"/>
          <w:numId w:val="25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evolution of the doctrine of proportionality and the way it is tested</w:t>
      </w:r>
    </w:p>
    <w:p w:rsidR="00995EAD" w:rsidRPr="00B629E2" w:rsidRDefault="00995EAD" w:rsidP="008E4AB7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2181" w:rsidRPr="00B629E2" w:rsidRDefault="00D32181" w:rsidP="008E4AB7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>10. Freedom of religion.</w:t>
      </w:r>
    </w:p>
    <w:p w:rsidR="00D32181" w:rsidRPr="00B629E2" w:rsidRDefault="00813F14" w:rsidP="00B629E2">
      <w:pPr>
        <w:pStyle w:val="Odsekzoznamu"/>
        <w:numPr>
          <w:ilvl w:val="0"/>
          <w:numId w:val="24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the origins of the freedom of religion</w:t>
      </w:r>
      <w:r w:rsidR="00F23B91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13F14" w:rsidRPr="00B629E2" w:rsidRDefault="001A0CBD" w:rsidP="00B629E2">
      <w:pPr>
        <w:pStyle w:val="Odsekzoznamu"/>
        <w:numPr>
          <w:ilvl w:val="0"/>
          <w:numId w:val="24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13F14" w:rsidRPr="00B629E2">
        <w:rPr>
          <w:rFonts w:ascii="Times New Roman" w:hAnsi="Times New Roman" w:cs="Times New Roman"/>
          <w:noProof/>
          <w:sz w:val="24"/>
          <w:szCs w:val="24"/>
          <w:lang w:val="en-GB"/>
        </w:rPr>
        <w:t>legitimacy</w:t>
      </w:r>
      <w:r w:rsidR="00813F14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of restriction of the freedom of religion and secularism, security, fraternity, etc.</w:t>
      </w:r>
    </w:p>
    <w:p w:rsidR="00813F14" w:rsidRPr="00B629E2" w:rsidRDefault="00813F14" w:rsidP="00B629E2">
      <w:pPr>
        <w:pStyle w:val="Odsekzoznamu"/>
        <w:numPr>
          <w:ilvl w:val="0"/>
          <w:numId w:val="24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case-law of the ECtHR in the field of the freedom of religion</w:t>
      </w:r>
    </w:p>
    <w:p w:rsidR="00F23B91" w:rsidRPr="00B629E2" w:rsidRDefault="00F23B91" w:rsidP="008E4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2181" w:rsidRPr="00B629E2" w:rsidRDefault="00D32181" w:rsidP="008E4AB7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b/>
          <w:bCs/>
          <w:sz w:val="24"/>
          <w:szCs w:val="24"/>
          <w:lang w:val="en-GB"/>
        </w:rPr>
        <w:t>11. Freedom of expression.</w:t>
      </w:r>
    </w:p>
    <w:p w:rsidR="00813F14" w:rsidRPr="00B629E2" w:rsidRDefault="00813F14" w:rsidP="00B629E2">
      <w:pPr>
        <w:pStyle w:val="Odsekzoznamu"/>
        <w:numPr>
          <w:ilvl w:val="0"/>
          <w:numId w:val="23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importance of the freedom of expression and the new challenges to freedom of expression</w:t>
      </w:r>
    </w:p>
    <w:p w:rsidR="00813F14" w:rsidRPr="00B629E2" w:rsidRDefault="00813F14" w:rsidP="00B629E2">
      <w:pPr>
        <w:pStyle w:val="Odsekzoznamu"/>
        <w:numPr>
          <w:ilvl w:val="0"/>
          <w:numId w:val="23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restrictions of the freedom of expression (with </w:t>
      </w:r>
      <w:r w:rsidR="001A0CBD"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B629E2">
        <w:rPr>
          <w:rFonts w:ascii="Times New Roman" w:hAnsi="Times New Roman" w:cs="Times New Roman"/>
          <w:noProof/>
          <w:sz w:val="24"/>
          <w:szCs w:val="24"/>
          <w:lang w:val="en-GB"/>
        </w:rPr>
        <w:t>focus</w:t>
      </w:r>
      <w:r w:rsidRPr="00B629E2">
        <w:rPr>
          <w:rFonts w:ascii="Times New Roman" w:hAnsi="Times New Roman" w:cs="Times New Roman"/>
          <w:sz w:val="24"/>
          <w:szCs w:val="24"/>
          <w:lang w:val="en-GB"/>
        </w:rPr>
        <w:t xml:space="preserve"> on hate speech, </w:t>
      </w:r>
      <w:r w:rsidR="00EA4010" w:rsidRPr="00B629E2">
        <w:rPr>
          <w:rFonts w:ascii="Times New Roman" w:hAnsi="Times New Roman" w:cs="Times New Roman"/>
          <w:sz w:val="24"/>
          <w:szCs w:val="24"/>
          <w:lang w:val="en-GB"/>
        </w:rPr>
        <w:t>morality and security of the state)</w:t>
      </w:r>
    </w:p>
    <w:p w:rsidR="00813F14" w:rsidRPr="00B629E2" w:rsidRDefault="00EA4010" w:rsidP="00B629E2">
      <w:pPr>
        <w:pStyle w:val="Odsekzoznamu"/>
        <w:numPr>
          <w:ilvl w:val="0"/>
          <w:numId w:val="23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29E2">
        <w:rPr>
          <w:rFonts w:ascii="Times New Roman" w:hAnsi="Times New Roman" w:cs="Times New Roman"/>
          <w:sz w:val="24"/>
          <w:szCs w:val="24"/>
          <w:lang w:val="en-GB"/>
        </w:rPr>
        <w:t>case-law of the ECtHR in the field of the freedom of expression</w:t>
      </w:r>
    </w:p>
    <w:sectPr w:rsidR="00813F14" w:rsidRPr="00B6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BBF" w:rsidRDefault="006A5BBF" w:rsidP="00B629E2">
      <w:pPr>
        <w:spacing w:after="0" w:line="240" w:lineRule="auto"/>
      </w:pPr>
      <w:r>
        <w:separator/>
      </w:r>
    </w:p>
  </w:endnote>
  <w:endnote w:type="continuationSeparator" w:id="0">
    <w:p w:rsidR="006A5BBF" w:rsidRDefault="006A5BBF" w:rsidP="00B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BBF" w:rsidRDefault="006A5BBF" w:rsidP="00B629E2">
      <w:pPr>
        <w:spacing w:after="0" w:line="240" w:lineRule="auto"/>
      </w:pPr>
      <w:r>
        <w:separator/>
      </w:r>
    </w:p>
  </w:footnote>
  <w:footnote w:type="continuationSeparator" w:id="0">
    <w:p w:rsidR="006A5BBF" w:rsidRDefault="006A5BBF" w:rsidP="00B629E2">
      <w:pPr>
        <w:spacing w:after="0" w:line="240" w:lineRule="auto"/>
      </w:pPr>
      <w:r>
        <w:continuationSeparator/>
      </w:r>
    </w:p>
  </w:footnote>
  <w:footnote w:id="1">
    <w:p w:rsidR="00B629E2" w:rsidRPr="00B629E2" w:rsidRDefault="00B629E2" w:rsidP="00B629E2">
      <w:pPr>
        <w:pStyle w:val="Textpoznmkypodiarou"/>
        <w:rPr>
          <w:lang w:val="en-GB"/>
        </w:rPr>
      </w:pPr>
      <w:r w:rsidRPr="00B629E2">
        <w:rPr>
          <w:rStyle w:val="Odkaznapoznmkupodiarou"/>
          <w:rFonts w:ascii="Times New Roman" w:hAnsi="Times New Roman"/>
          <w:lang w:val="en-GB"/>
        </w:rPr>
        <w:footnoteRef/>
      </w:r>
      <w:r w:rsidRPr="00B629E2">
        <w:rPr>
          <w:rFonts w:ascii="Times New Roman" w:hAnsi="Times New Roman"/>
          <w:lang w:val="en-GB"/>
        </w:rPr>
        <w:t xml:space="preserve"> </w:t>
      </w:r>
      <w:r w:rsidRPr="00B629E2">
        <w:rPr>
          <w:rFonts w:ascii="Times New Roman" w:hAnsi="Times New Roman"/>
          <w:lang w:val="en-GB"/>
        </w:rPr>
        <w:t xml:space="preserve">Each week considers one topic. Part time </w:t>
      </w:r>
      <w:proofErr w:type="gramStart"/>
      <w:r w:rsidRPr="00B629E2">
        <w:rPr>
          <w:rFonts w:ascii="Times New Roman" w:hAnsi="Times New Roman"/>
          <w:lang w:val="en-GB"/>
        </w:rPr>
        <w:t>students</w:t>
      </w:r>
      <w:proofErr w:type="gramEnd"/>
      <w:r w:rsidRPr="00B629E2">
        <w:rPr>
          <w:rFonts w:ascii="Times New Roman" w:hAnsi="Times New Roman"/>
          <w:lang w:val="en-GB"/>
        </w:rPr>
        <w:t xml:space="preserve"> program will be </w:t>
      </w:r>
      <w:proofErr w:type="spellStart"/>
      <w:r w:rsidRPr="00B629E2">
        <w:rPr>
          <w:rFonts w:ascii="Times New Roman" w:hAnsi="Times New Roman"/>
          <w:lang w:val="en-GB"/>
        </w:rPr>
        <w:t>accomodated</w:t>
      </w:r>
      <w:proofErr w:type="spellEnd"/>
      <w:r w:rsidRPr="00B629E2">
        <w:rPr>
          <w:rFonts w:ascii="Times New Roman" w:hAnsi="Times New Roman"/>
          <w:lang w:val="en-GB"/>
        </w:rPr>
        <w:t xml:space="preserve"> at to their schedule.</w:t>
      </w:r>
      <w:r w:rsidRPr="00B629E2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669C"/>
    <w:multiLevelType w:val="hybridMultilevel"/>
    <w:tmpl w:val="766ED04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B5A"/>
    <w:multiLevelType w:val="hybridMultilevel"/>
    <w:tmpl w:val="B504109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0EA"/>
    <w:multiLevelType w:val="hybridMultilevel"/>
    <w:tmpl w:val="03A06CD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7DDC"/>
    <w:multiLevelType w:val="hybridMultilevel"/>
    <w:tmpl w:val="55922A3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0B43"/>
    <w:multiLevelType w:val="hybridMultilevel"/>
    <w:tmpl w:val="7DB88D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45B8"/>
    <w:multiLevelType w:val="hybridMultilevel"/>
    <w:tmpl w:val="1B50525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727A205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B558B"/>
    <w:multiLevelType w:val="hybridMultilevel"/>
    <w:tmpl w:val="8CAAC77A"/>
    <w:lvl w:ilvl="0" w:tplc="48DEC44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62"/>
    <w:multiLevelType w:val="hybridMultilevel"/>
    <w:tmpl w:val="D0A03916"/>
    <w:lvl w:ilvl="0" w:tplc="9CD069D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6698E"/>
    <w:multiLevelType w:val="hybridMultilevel"/>
    <w:tmpl w:val="770A1C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504B"/>
    <w:multiLevelType w:val="hybridMultilevel"/>
    <w:tmpl w:val="303851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34B07"/>
    <w:multiLevelType w:val="hybridMultilevel"/>
    <w:tmpl w:val="E102BB38"/>
    <w:lvl w:ilvl="0" w:tplc="706C82A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5FA9"/>
    <w:multiLevelType w:val="hybridMultilevel"/>
    <w:tmpl w:val="405A4A8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6775"/>
    <w:multiLevelType w:val="hybridMultilevel"/>
    <w:tmpl w:val="6292FFE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A2DD5"/>
    <w:multiLevelType w:val="hybridMultilevel"/>
    <w:tmpl w:val="F7F62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A5061"/>
    <w:multiLevelType w:val="hybridMultilevel"/>
    <w:tmpl w:val="B78AD66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4CBC"/>
    <w:multiLevelType w:val="hybridMultilevel"/>
    <w:tmpl w:val="006A4A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4A12"/>
    <w:multiLevelType w:val="hybridMultilevel"/>
    <w:tmpl w:val="C4D236AE"/>
    <w:lvl w:ilvl="0" w:tplc="F5AC8F8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64D4A"/>
    <w:multiLevelType w:val="hybridMultilevel"/>
    <w:tmpl w:val="B3B244B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A2C85"/>
    <w:multiLevelType w:val="hybridMultilevel"/>
    <w:tmpl w:val="217C05AE"/>
    <w:lvl w:ilvl="0" w:tplc="00A4F6E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C5182"/>
    <w:multiLevelType w:val="hybridMultilevel"/>
    <w:tmpl w:val="C4241EA2"/>
    <w:lvl w:ilvl="0" w:tplc="A348A5B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8366C"/>
    <w:multiLevelType w:val="hybridMultilevel"/>
    <w:tmpl w:val="2140EC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D4E79"/>
    <w:multiLevelType w:val="hybridMultilevel"/>
    <w:tmpl w:val="941EC72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C5BB2"/>
    <w:multiLevelType w:val="hybridMultilevel"/>
    <w:tmpl w:val="126E583C"/>
    <w:lvl w:ilvl="0" w:tplc="41FA752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13CD6"/>
    <w:multiLevelType w:val="hybridMultilevel"/>
    <w:tmpl w:val="18DC254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81051"/>
    <w:multiLevelType w:val="hybridMultilevel"/>
    <w:tmpl w:val="70468E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A32CD"/>
    <w:multiLevelType w:val="hybridMultilevel"/>
    <w:tmpl w:val="539E239C"/>
    <w:lvl w:ilvl="0" w:tplc="544E9C0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F1498"/>
    <w:multiLevelType w:val="hybridMultilevel"/>
    <w:tmpl w:val="4C8ACB34"/>
    <w:lvl w:ilvl="0" w:tplc="0C9AD71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B0F53"/>
    <w:multiLevelType w:val="hybridMultilevel"/>
    <w:tmpl w:val="4BF0B4B4"/>
    <w:lvl w:ilvl="0" w:tplc="7FBA92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471AF"/>
    <w:multiLevelType w:val="hybridMultilevel"/>
    <w:tmpl w:val="2F6826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7A205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F6D48"/>
    <w:multiLevelType w:val="hybridMultilevel"/>
    <w:tmpl w:val="6D12BE3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06D3B"/>
    <w:multiLevelType w:val="hybridMultilevel"/>
    <w:tmpl w:val="74C422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01BCA"/>
    <w:multiLevelType w:val="hybridMultilevel"/>
    <w:tmpl w:val="8856E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"/>
  </w:num>
  <w:num w:numId="4">
    <w:abstractNumId w:val="18"/>
  </w:num>
  <w:num w:numId="5">
    <w:abstractNumId w:val="17"/>
  </w:num>
  <w:num w:numId="6">
    <w:abstractNumId w:val="25"/>
  </w:num>
  <w:num w:numId="7">
    <w:abstractNumId w:val="11"/>
  </w:num>
  <w:num w:numId="8">
    <w:abstractNumId w:val="10"/>
  </w:num>
  <w:num w:numId="9">
    <w:abstractNumId w:val="2"/>
  </w:num>
  <w:num w:numId="10">
    <w:abstractNumId w:val="27"/>
  </w:num>
  <w:num w:numId="11">
    <w:abstractNumId w:val="23"/>
  </w:num>
  <w:num w:numId="12">
    <w:abstractNumId w:val="16"/>
  </w:num>
  <w:num w:numId="13">
    <w:abstractNumId w:val="14"/>
  </w:num>
  <w:num w:numId="14">
    <w:abstractNumId w:val="19"/>
  </w:num>
  <w:num w:numId="15">
    <w:abstractNumId w:val="0"/>
  </w:num>
  <w:num w:numId="16">
    <w:abstractNumId w:val="7"/>
  </w:num>
  <w:num w:numId="17">
    <w:abstractNumId w:val="3"/>
  </w:num>
  <w:num w:numId="18">
    <w:abstractNumId w:val="26"/>
  </w:num>
  <w:num w:numId="19">
    <w:abstractNumId w:val="5"/>
  </w:num>
  <w:num w:numId="20">
    <w:abstractNumId w:val="6"/>
  </w:num>
  <w:num w:numId="21">
    <w:abstractNumId w:val="12"/>
  </w:num>
  <w:num w:numId="22">
    <w:abstractNumId w:val="8"/>
  </w:num>
  <w:num w:numId="23">
    <w:abstractNumId w:val="13"/>
  </w:num>
  <w:num w:numId="24">
    <w:abstractNumId w:val="15"/>
  </w:num>
  <w:num w:numId="25">
    <w:abstractNumId w:val="4"/>
  </w:num>
  <w:num w:numId="26">
    <w:abstractNumId w:val="31"/>
  </w:num>
  <w:num w:numId="27">
    <w:abstractNumId w:val="21"/>
  </w:num>
  <w:num w:numId="28">
    <w:abstractNumId w:val="28"/>
  </w:num>
  <w:num w:numId="29">
    <w:abstractNumId w:val="24"/>
  </w:num>
  <w:num w:numId="30">
    <w:abstractNumId w:val="20"/>
  </w:num>
  <w:num w:numId="31">
    <w:abstractNumId w:val="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KzMDG3MDQxNjQ3MjZU0lEKTi0uzszPAykwrQUA0ZOCvywAAAA="/>
  </w:docVars>
  <w:rsids>
    <w:rsidRoot w:val="00D32181"/>
    <w:rsid w:val="00052E36"/>
    <w:rsid w:val="000A605A"/>
    <w:rsid w:val="001A0CBD"/>
    <w:rsid w:val="00214A68"/>
    <w:rsid w:val="00323A2E"/>
    <w:rsid w:val="00365A49"/>
    <w:rsid w:val="003C2293"/>
    <w:rsid w:val="006A5BBF"/>
    <w:rsid w:val="00773EEB"/>
    <w:rsid w:val="00804E68"/>
    <w:rsid w:val="00813F14"/>
    <w:rsid w:val="008E4AB7"/>
    <w:rsid w:val="00995EAD"/>
    <w:rsid w:val="009D3154"/>
    <w:rsid w:val="00A85E1A"/>
    <w:rsid w:val="00B629E2"/>
    <w:rsid w:val="00CC6D8A"/>
    <w:rsid w:val="00D30EA7"/>
    <w:rsid w:val="00D32181"/>
    <w:rsid w:val="00D467DA"/>
    <w:rsid w:val="00EA4010"/>
    <w:rsid w:val="00F23B91"/>
    <w:rsid w:val="00F62598"/>
    <w:rsid w:val="00FA6EE8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629A"/>
  <w15:chartTrackingRefBased/>
  <w15:docId w15:val="{9F7191FB-DAE1-4436-8DAD-1456165B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18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9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9E2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berdajev</dc:creator>
  <cp:keywords/>
  <dc:description/>
  <cp:lastModifiedBy>berdajev</cp:lastModifiedBy>
  <cp:revision>2</cp:revision>
  <dcterms:created xsi:type="dcterms:W3CDTF">2019-09-02T07:04:00Z</dcterms:created>
  <dcterms:modified xsi:type="dcterms:W3CDTF">2019-09-02T07:04:00Z</dcterms:modified>
</cp:coreProperties>
</file>