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8A0" w:rsidRPr="00BC2A88" w:rsidRDefault="003648A0" w:rsidP="00BC2A88">
      <w:pPr>
        <w:pBdr>
          <w:bottom w:val="single" w:sz="4" w:space="1" w:color="auto"/>
        </w:pBdr>
        <w:spacing w:after="60"/>
        <w:jc w:val="both"/>
        <w:rPr>
          <w:rFonts w:cstheme="minorHAnsi"/>
          <w:b/>
          <w:sz w:val="28"/>
          <w:szCs w:val="28"/>
          <w:lang w:val="sk-SK"/>
        </w:rPr>
      </w:pPr>
      <w:r w:rsidRPr="00BC2A88">
        <w:rPr>
          <w:rFonts w:cstheme="minorHAnsi"/>
          <w:b/>
          <w:sz w:val="28"/>
          <w:szCs w:val="28"/>
          <w:lang w:val="sk-SK"/>
        </w:rPr>
        <w:t>Interpretácia  práva</w:t>
      </w:r>
    </w:p>
    <w:p w:rsidR="003648A0" w:rsidRPr="00BC2A88" w:rsidRDefault="003648A0" w:rsidP="00DF7403">
      <w:pPr>
        <w:spacing w:after="60"/>
        <w:jc w:val="right"/>
        <w:rPr>
          <w:rFonts w:cstheme="minorHAnsi"/>
          <w:b/>
          <w:sz w:val="21"/>
          <w:szCs w:val="21"/>
          <w:lang w:val="sk-SK"/>
        </w:rPr>
      </w:pPr>
      <w:r w:rsidRPr="00BC2A88">
        <w:rPr>
          <w:rFonts w:cstheme="minorHAnsi"/>
          <w:b/>
          <w:sz w:val="21"/>
          <w:szCs w:val="21"/>
          <w:lang w:val="sk-SK"/>
        </w:rPr>
        <w:t>13. 11. 2019</w:t>
      </w:r>
    </w:p>
    <w:p w:rsidR="003648A0" w:rsidRPr="00BC2A88" w:rsidRDefault="003648A0" w:rsidP="00BC2A88">
      <w:pPr>
        <w:spacing w:after="60"/>
        <w:jc w:val="both"/>
        <w:rPr>
          <w:rFonts w:cstheme="minorHAnsi"/>
          <w:b/>
          <w:sz w:val="21"/>
          <w:szCs w:val="21"/>
          <w:lang w:val="sk-SK"/>
        </w:rPr>
      </w:pPr>
      <w:r w:rsidRPr="00BC2A88">
        <w:rPr>
          <w:rFonts w:cstheme="minorHAnsi"/>
          <w:b/>
          <w:sz w:val="21"/>
          <w:szCs w:val="21"/>
          <w:lang w:val="sk-SK"/>
        </w:rPr>
        <w:t>1. Prečo potrebujeme výklad práva?</w:t>
      </w:r>
    </w:p>
    <w:p w:rsidR="003648A0" w:rsidRPr="00BC2A88" w:rsidRDefault="003648A0" w:rsidP="00BC2A88">
      <w:pPr>
        <w:jc w:val="both"/>
        <w:rPr>
          <w:rFonts w:cs="Calibri"/>
          <w:bCs/>
          <w:lang w:val="sk-SK"/>
        </w:rPr>
      </w:pPr>
      <w:r w:rsidRPr="00BC2A88">
        <w:rPr>
          <w:rFonts w:cs="Calibri"/>
          <w:bCs/>
          <w:lang w:val="sk-SK"/>
        </w:rPr>
        <w:t xml:space="preserve">Zmysel práva nespočíva v jeho tvorbe, ale v jeho aplikácii. K aplikácii (písaného) práva dochádza vtedy, keď vzťahujeme </w:t>
      </w:r>
      <w:r w:rsidRPr="00BC2A88">
        <w:rPr>
          <w:rFonts w:cs="Calibri"/>
          <w:bCs/>
          <w:i/>
          <w:lang w:val="sk-SK"/>
        </w:rPr>
        <w:t>všeobecný</w:t>
      </w:r>
      <w:r w:rsidRPr="00BC2A88">
        <w:rPr>
          <w:rFonts w:cs="Calibri"/>
          <w:bCs/>
          <w:lang w:val="sk-SK"/>
        </w:rPr>
        <w:t xml:space="preserve"> text právneho predpisu na </w:t>
      </w:r>
      <w:r w:rsidRPr="00BC2A88">
        <w:rPr>
          <w:rFonts w:cs="Calibri"/>
          <w:bCs/>
          <w:i/>
          <w:lang w:val="sk-SK"/>
        </w:rPr>
        <w:t>konkrétnu</w:t>
      </w:r>
      <w:r w:rsidRPr="00BC2A88">
        <w:rPr>
          <w:rFonts w:cs="Calibri"/>
          <w:bCs/>
          <w:lang w:val="sk-SK"/>
        </w:rPr>
        <w:t xml:space="preserve"> skutkovú situáciu, aby sme vyvodili </w:t>
      </w:r>
      <w:r w:rsidRPr="00BC2A88">
        <w:rPr>
          <w:rFonts w:cs="Calibri"/>
          <w:bCs/>
          <w:i/>
          <w:lang w:val="sk-SK"/>
        </w:rPr>
        <w:t>individuálny</w:t>
      </w:r>
      <w:r w:rsidRPr="00BC2A88">
        <w:rPr>
          <w:rFonts w:cs="Calibri"/>
          <w:bCs/>
          <w:lang w:val="sk-SK"/>
        </w:rPr>
        <w:t xml:space="preserve"> právny následok, ktorý má podobu </w:t>
      </w:r>
      <w:r w:rsidRPr="00BC2A88">
        <w:rPr>
          <w:rFonts w:cs="Calibri"/>
          <w:bCs/>
          <w:i/>
          <w:lang w:val="sk-SK"/>
        </w:rPr>
        <w:t>subjektívneho</w:t>
      </w:r>
      <w:r w:rsidRPr="00BC2A88">
        <w:rPr>
          <w:rFonts w:cs="Calibri"/>
          <w:bCs/>
          <w:lang w:val="sk-SK"/>
        </w:rPr>
        <w:t xml:space="preserve"> práva alebo povinnosti. Takýto úsudok sa v učebniciach logiky nazýva </w:t>
      </w:r>
      <w:r w:rsidRPr="00BC2A88">
        <w:rPr>
          <w:rFonts w:cs="Calibri"/>
          <w:b/>
          <w:bCs/>
          <w:i/>
          <w:lang w:val="sk-SK"/>
        </w:rPr>
        <w:t xml:space="preserve">modus </w:t>
      </w:r>
      <w:proofErr w:type="spellStart"/>
      <w:r w:rsidRPr="00BC2A88">
        <w:rPr>
          <w:rFonts w:cs="Calibri"/>
          <w:b/>
          <w:bCs/>
          <w:i/>
          <w:lang w:val="sk-SK"/>
        </w:rPr>
        <w:t>ponens</w:t>
      </w:r>
      <w:proofErr w:type="spellEnd"/>
      <w:r w:rsidRPr="00BC2A88">
        <w:rPr>
          <w:rFonts w:cs="Calibri"/>
          <w:bCs/>
          <w:lang w:val="sk-SK"/>
        </w:rPr>
        <w:t xml:space="preserve"> a v učebniciach práva </w:t>
      </w:r>
      <w:proofErr w:type="spellStart"/>
      <w:r w:rsidRPr="00BC2A88">
        <w:rPr>
          <w:rFonts w:cs="Calibri"/>
          <w:b/>
          <w:bCs/>
          <w:i/>
          <w:lang w:val="sk-SK"/>
        </w:rPr>
        <w:t>subsumpčný</w:t>
      </w:r>
      <w:proofErr w:type="spellEnd"/>
      <w:r w:rsidRPr="00BC2A88">
        <w:rPr>
          <w:rFonts w:cs="Calibri"/>
          <w:b/>
          <w:bCs/>
          <w:i/>
          <w:lang w:val="sk-SK"/>
        </w:rPr>
        <w:t xml:space="preserve"> </w:t>
      </w:r>
      <w:proofErr w:type="spellStart"/>
      <w:r w:rsidRPr="00BC2A88">
        <w:rPr>
          <w:rFonts w:cs="Calibri"/>
          <w:b/>
          <w:bCs/>
          <w:i/>
          <w:lang w:val="sk-SK"/>
        </w:rPr>
        <w:t>sylogizmus</w:t>
      </w:r>
      <w:proofErr w:type="spellEnd"/>
      <w:r w:rsidRPr="00BC2A88">
        <w:rPr>
          <w:rFonts w:cs="Calibri"/>
          <w:bCs/>
          <w:lang w:val="sk-SK"/>
        </w:rPr>
        <w:t xml:space="preserve">. Jeho forma vyzerá takto: </w:t>
      </w:r>
    </w:p>
    <w:p w:rsidR="003648A0" w:rsidRPr="00BC2A88" w:rsidRDefault="003648A0" w:rsidP="00BC2A88">
      <w:pPr>
        <w:tabs>
          <w:tab w:val="left" w:pos="851"/>
          <w:tab w:val="left" w:pos="1701"/>
          <w:tab w:val="left" w:pos="3969"/>
        </w:tabs>
        <w:spacing w:after="120"/>
        <w:ind w:firstLine="567"/>
        <w:jc w:val="both"/>
        <w:rPr>
          <w:rFonts w:cs="Calibri"/>
          <w:lang w:val="sk-SK"/>
        </w:rPr>
      </w:pPr>
      <w:r w:rsidRPr="00BC2A88">
        <w:rPr>
          <w:rFonts w:cs="Calibri"/>
          <w:lang w:val="sk-SK"/>
        </w:rPr>
        <w:t xml:space="preserve">1. </w:t>
      </w:r>
      <w:r w:rsidRPr="00BC2A88">
        <w:rPr>
          <w:rFonts w:cs="Calibri"/>
          <w:lang w:val="sk-SK"/>
        </w:rPr>
        <w:tab/>
        <w:t>p → q</w:t>
      </w:r>
      <w:r w:rsidRPr="00BC2A88">
        <w:rPr>
          <w:rFonts w:cs="Calibri"/>
          <w:lang w:val="sk-SK"/>
        </w:rPr>
        <w:tab/>
      </w:r>
      <w:r w:rsidRPr="00BC2A88">
        <w:rPr>
          <w:rFonts w:cs="Calibri"/>
          <w:lang w:val="sk-SK"/>
        </w:rPr>
        <w:tab/>
        <w:t>(To, čo hovorí zákon, resp. iný prameň práva – právny stav.)</w:t>
      </w:r>
    </w:p>
    <w:p w:rsidR="003648A0" w:rsidRPr="00BC2A88" w:rsidRDefault="003648A0" w:rsidP="00BC2A88">
      <w:pPr>
        <w:pBdr>
          <w:bottom w:val="single" w:sz="4" w:space="1" w:color="auto"/>
        </w:pBdr>
        <w:tabs>
          <w:tab w:val="left" w:pos="851"/>
          <w:tab w:val="left" w:pos="1701"/>
          <w:tab w:val="left" w:pos="3969"/>
        </w:tabs>
        <w:spacing w:after="120"/>
        <w:ind w:firstLine="567"/>
        <w:jc w:val="both"/>
        <w:rPr>
          <w:rFonts w:cs="Calibri"/>
          <w:lang w:val="sk-SK"/>
        </w:rPr>
      </w:pPr>
      <w:r w:rsidRPr="00BC2A88">
        <w:rPr>
          <w:rFonts w:cs="Calibri"/>
          <w:lang w:val="sk-SK"/>
        </w:rPr>
        <w:t xml:space="preserve">2. </w:t>
      </w:r>
      <w:r w:rsidRPr="00BC2A88">
        <w:rPr>
          <w:rFonts w:cs="Calibri"/>
          <w:lang w:val="sk-SK"/>
        </w:rPr>
        <w:tab/>
        <w:t xml:space="preserve">p </w:t>
      </w:r>
      <w:r w:rsidRPr="00BC2A88">
        <w:rPr>
          <w:rFonts w:cs="Calibri"/>
          <w:lang w:val="sk-SK"/>
        </w:rPr>
        <w:tab/>
      </w:r>
      <w:r w:rsidRPr="00BC2A88">
        <w:rPr>
          <w:rFonts w:cs="Calibri"/>
          <w:lang w:val="sk-SK"/>
        </w:rPr>
        <w:tab/>
        <w:t>(To, čo tvrdí žalobca – dokazovaný skutkový stav.)</w:t>
      </w:r>
    </w:p>
    <w:p w:rsidR="003648A0" w:rsidRPr="00BC2A88" w:rsidRDefault="003648A0" w:rsidP="00BC2A88">
      <w:pPr>
        <w:tabs>
          <w:tab w:val="left" w:pos="851"/>
          <w:tab w:val="left" w:pos="1701"/>
          <w:tab w:val="left" w:pos="3969"/>
        </w:tabs>
        <w:spacing w:after="120"/>
        <w:ind w:firstLine="567"/>
        <w:jc w:val="both"/>
        <w:rPr>
          <w:rFonts w:cs="Calibri"/>
          <w:lang w:val="sk-SK"/>
        </w:rPr>
      </w:pPr>
      <w:r w:rsidRPr="00BC2A88">
        <w:rPr>
          <w:rFonts w:cs="Calibri"/>
          <w:lang w:val="sk-SK"/>
        </w:rPr>
        <w:t xml:space="preserve"> </w:t>
      </w:r>
      <w:r w:rsidRPr="00BC2A88">
        <w:rPr>
          <w:rFonts w:cs="Calibri"/>
          <w:lang w:val="sk-SK"/>
        </w:rPr>
        <w:tab/>
        <w:t>q</w:t>
      </w:r>
      <w:r w:rsidRPr="00BC2A88">
        <w:rPr>
          <w:rFonts w:cs="Calibri"/>
          <w:lang w:val="sk-SK"/>
        </w:rPr>
        <w:tab/>
      </w:r>
      <w:r w:rsidRPr="00BC2A88">
        <w:rPr>
          <w:rFonts w:cs="Calibri"/>
          <w:lang w:val="sk-SK"/>
        </w:rPr>
        <w:tab/>
        <w:t>(To, čo deklaruje sudca vo výroku rozsudku.)</w:t>
      </w:r>
    </w:p>
    <w:p w:rsidR="003648A0" w:rsidRPr="00BC2A88" w:rsidRDefault="003648A0" w:rsidP="00BC2A88">
      <w:pPr>
        <w:spacing w:after="120"/>
        <w:jc w:val="both"/>
        <w:rPr>
          <w:rFonts w:cs="Calibri"/>
          <w:bCs/>
          <w:lang w:val="sk-SK"/>
        </w:rPr>
      </w:pPr>
      <w:r w:rsidRPr="007861DE">
        <w:rPr>
          <w:rFonts w:cs="Calibri"/>
          <w:bCs/>
          <w:u w:val="single"/>
          <w:lang w:val="sk-SK"/>
        </w:rPr>
        <w:t>Príklad</w:t>
      </w:r>
      <w:r w:rsidRPr="00BC2A88">
        <w:rPr>
          <w:rFonts w:cs="Calibri"/>
          <w:bCs/>
          <w:lang w:val="sk-SK"/>
        </w:rPr>
        <w:t xml:space="preserve">: </w:t>
      </w:r>
    </w:p>
    <w:p w:rsidR="003648A0" w:rsidRPr="00BC2A88" w:rsidRDefault="003648A0" w:rsidP="00BC2A88">
      <w:pPr>
        <w:spacing w:after="120"/>
        <w:jc w:val="both"/>
        <w:rPr>
          <w:rFonts w:cs="Calibri"/>
          <w:bCs/>
          <w:lang w:val="sk-SK"/>
        </w:rPr>
      </w:pPr>
      <w:r w:rsidRPr="00BC2A88">
        <w:rPr>
          <w:rFonts w:cs="Calibri"/>
          <w:bCs/>
          <w:lang w:val="sk-SK"/>
        </w:rPr>
        <w:t>Právny stav: Kto vstúpi do mestského parku s vozidlom (p), potrestá sa pokutou 20 eur (q). Skutkový stav: Šofér Ondrej S. vstúpil do Zámockého parku na aute značky Peugeot 508 (p</w:t>
      </w:r>
      <w:r w:rsidRPr="00BC2A88">
        <w:rPr>
          <w:rFonts w:cs="Calibri"/>
          <w:bCs/>
          <w:vertAlign w:val="superscript"/>
          <w:lang w:val="sk-SK"/>
        </w:rPr>
        <w:t>1</w:t>
      </w:r>
      <w:r w:rsidRPr="00BC2A88">
        <w:rPr>
          <w:rFonts w:cs="Calibri"/>
          <w:bCs/>
          <w:lang w:val="sk-SK"/>
        </w:rPr>
        <w:t xml:space="preserve">). Alebo: Do parku vstúpil Andrej H. na elektrickom invalidnom vozíku </w:t>
      </w:r>
      <w:r w:rsidR="00A0519B" w:rsidRPr="00BC2A88">
        <w:rPr>
          <w:rFonts w:cs="Calibri"/>
          <w:bCs/>
          <w:lang w:val="sk-SK"/>
        </w:rPr>
        <w:t>(p</w:t>
      </w:r>
      <w:r w:rsidR="00A0519B" w:rsidRPr="00BC2A88">
        <w:rPr>
          <w:rFonts w:cs="Calibri"/>
          <w:bCs/>
          <w:vertAlign w:val="superscript"/>
          <w:lang w:val="sk-SK"/>
        </w:rPr>
        <w:t>2</w:t>
      </w:r>
      <w:r w:rsidR="00A0519B" w:rsidRPr="00BC2A88">
        <w:rPr>
          <w:rFonts w:cs="Calibri"/>
          <w:bCs/>
          <w:lang w:val="sk-SK"/>
        </w:rPr>
        <w:t>). A</w:t>
      </w:r>
      <w:r w:rsidRPr="00BC2A88">
        <w:rPr>
          <w:rFonts w:cs="Calibri"/>
          <w:bCs/>
          <w:lang w:val="sk-SK"/>
        </w:rPr>
        <w:t>lebo Zuzana K. na bicykli</w:t>
      </w:r>
      <w:r w:rsidR="00A0519B" w:rsidRPr="00BC2A88">
        <w:rPr>
          <w:rFonts w:cs="Calibri"/>
          <w:bCs/>
          <w:lang w:val="sk-SK"/>
        </w:rPr>
        <w:t xml:space="preserve"> (p</w:t>
      </w:r>
      <w:r w:rsidR="00A0519B" w:rsidRPr="00BC2A88">
        <w:rPr>
          <w:rFonts w:cs="Calibri"/>
          <w:bCs/>
          <w:vertAlign w:val="superscript"/>
          <w:lang w:val="sk-SK"/>
        </w:rPr>
        <w:t>3</w:t>
      </w:r>
      <w:r w:rsidRPr="00BC2A88">
        <w:rPr>
          <w:rFonts w:cs="Calibri"/>
          <w:bCs/>
          <w:lang w:val="sk-SK"/>
        </w:rPr>
        <w:t>). Alebo správca parku na traktorovej kosačke (p</w:t>
      </w:r>
      <w:r w:rsidR="00A0519B" w:rsidRPr="00BC2A88">
        <w:rPr>
          <w:rFonts w:cs="Calibri"/>
          <w:bCs/>
          <w:vertAlign w:val="superscript"/>
          <w:lang w:val="sk-SK"/>
        </w:rPr>
        <w:t>4</w:t>
      </w:r>
      <w:r w:rsidRPr="00BC2A88">
        <w:rPr>
          <w:rFonts w:cs="Calibri"/>
          <w:bCs/>
          <w:lang w:val="sk-SK"/>
        </w:rPr>
        <w:t>)</w:t>
      </w:r>
      <w:r w:rsidR="00A0519B" w:rsidRPr="00BC2A88">
        <w:rPr>
          <w:rFonts w:cs="Calibri"/>
          <w:bCs/>
          <w:lang w:val="sk-SK"/>
        </w:rPr>
        <w:t>.</w:t>
      </w:r>
      <w:r w:rsidRPr="00BC2A88">
        <w:rPr>
          <w:rFonts w:cs="Calibri"/>
          <w:bCs/>
          <w:lang w:val="sk-SK"/>
        </w:rPr>
        <w:t xml:space="preserve"> Alebo </w:t>
      </w:r>
      <w:r w:rsidR="00C75C66" w:rsidRPr="00BC2A88">
        <w:rPr>
          <w:rFonts w:cs="Calibri"/>
          <w:bCs/>
          <w:lang w:val="sk-SK"/>
        </w:rPr>
        <w:t>smetiarske auto</w:t>
      </w:r>
      <w:r w:rsidR="00A0519B" w:rsidRPr="00BC2A88">
        <w:rPr>
          <w:rFonts w:cs="Calibri"/>
          <w:bCs/>
          <w:lang w:val="sk-SK"/>
        </w:rPr>
        <w:t xml:space="preserve"> (p</w:t>
      </w:r>
      <w:r w:rsidR="007861DE">
        <w:rPr>
          <w:rFonts w:cs="Calibri"/>
          <w:bCs/>
          <w:vertAlign w:val="superscript"/>
          <w:lang w:val="sk-SK"/>
        </w:rPr>
        <w:t>5</w:t>
      </w:r>
      <w:r w:rsidR="00C75C66" w:rsidRPr="00BC2A88">
        <w:rPr>
          <w:rFonts w:cs="Calibri"/>
          <w:bCs/>
          <w:lang w:val="sk-SK"/>
        </w:rPr>
        <w:t>).</w:t>
      </w:r>
      <w:r w:rsidR="00A0519B" w:rsidRPr="00BC2A88">
        <w:rPr>
          <w:rFonts w:cs="Calibri"/>
          <w:bCs/>
          <w:lang w:val="sk-SK"/>
        </w:rPr>
        <w:t xml:space="preserve"> V prípade p</w:t>
      </w:r>
      <w:r w:rsidR="00A0519B" w:rsidRPr="00BC2A88">
        <w:rPr>
          <w:rFonts w:cs="Calibri"/>
          <w:bCs/>
          <w:vertAlign w:val="superscript"/>
          <w:lang w:val="sk-SK"/>
        </w:rPr>
        <w:t>2</w:t>
      </w:r>
      <w:r w:rsidR="00A0519B" w:rsidRPr="00BC2A88">
        <w:rPr>
          <w:rFonts w:cs="Calibri"/>
          <w:bCs/>
          <w:lang w:val="sk-SK"/>
        </w:rPr>
        <w:t xml:space="preserve"> až p</w:t>
      </w:r>
      <w:r w:rsidR="007861DE">
        <w:rPr>
          <w:rFonts w:cs="Calibri"/>
          <w:bCs/>
          <w:vertAlign w:val="superscript"/>
          <w:lang w:val="sk-SK"/>
        </w:rPr>
        <w:t>5</w:t>
      </w:r>
      <w:r w:rsidR="00A0519B" w:rsidRPr="00BC2A88">
        <w:rPr>
          <w:rFonts w:cs="Calibri"/>
          <w:bCs/>
          <w:lang w:val="sk-SK"/>
        </w:rPr>
        <w:t xml:space="preserve"> riešime otázku, čo myslel zákonodarca pod slovom „vozidlo“. </w:t>
      </w:r>
    </w:p>
    <w:p w:rsidR="003648A0" w:rsidRPr="00BC2A88" w:rsidRDefault="003648A0" w:rsidP="00BC2A88">
      <w:pPr>
        <w:spacing w:after="120"/>
        <w:jc w:val="both"/>
        <w:rPr>
          <w:rFonts w:cs="Calibri"/>
          <w:b/>
          <w:bCs/>
          <w:i/>
          <w:lang w:val="sk-SK"/>
        </w:rPr>
      </w:pPr>
      <w:r w:rsidRPr="00BC2A88">
        <w:rPr>
          <w:rFonts w:cs="Calibri"/>
          <w:bCs/>
          <w:lang w:val="sk-SK"/>
        </w:rPr>
        <w:t>Keď odpovedáme na takýto typ otázok, podávame výklad práva, teda</w:t>
      </w:r>
      <w:r w:rsidRPr="00BC2A88">
        <w:rPr>
          <w:rFonts w:cs="Calibri"/>
          <w:bCs/>
          <w:i/>
          <w:lang w:val="sk-SK"/>
        </w:rPr>
        <w:t> </w:t>
      </w:r>
      <w:r w:rsidRPr="00BC2A88">
        <w:rPr>
          <w:rFonts w:cs="Calibri"/>
          <w:b/>
          <w:bCs/>
          <w:i/>
          <w:lang w:val="sk-SK"/>
        </w:rPr>
        <w:t xml:space="preserve">objasňujeme význam právneho textu za účelom jeho uplatnenia v konkrétnej situácii, či už reálnej alebo fiktívnej. </w:t>
      </w:r>
      <w:r w:rsidRPr="00BC2A88">
        <w:rPr>
          <w:rFonts w:cs="Calibri"/>
          <w:bCs/>
          <w:lang w:val="sk-SK"/>
        </w:rPr>
        <w:t>Výklad práva potrebujeme, pretože</w:t>
      </w:r>
      <w:r w:rsidRPr="00BC2A88">
        <w:rPr>
          <w:rFonts w:cs="Calibri"/>
          <w:b/>
          <w:bCs/>
          <w:i/>
          <w:lang w:val="sk-SK"/>
        </w:rPr>
        <w:t>:</w:t>
      </w:r>
    </w:p>
    <w:p w:rsidR="003648A0" w:rsidRPr="00BC2A88" w:rsidRDefault="003648A0" w:rsidP="00BC2A88">
      <w:pPr>
        <w:spacing w:after="120"/>
        <w:jc w:val="both"/>
        <w:rPr>
          <w:rFonts w:cs="Calibri"/>
          <w:bCs/>
          <w:lang w:val="sk-SK"/>
        </w:rPr>
      </w:pPr>
      <w:r w:rsidRPr="00BC2A88">
        <w:rPr>
          <w:rFonts w:cs="Calibri"/>
          <w:b/>
          <w:bCs/>
          <w:lang w:val="sk-SK"/>
        </w:rPr>
        <w:t>a)</w:t>
      </w:r>
      <w:r w:rsidRPr="00BC2A88">
        <w:rPr>
          <w:rFonts w:cs="Calibri"/>
          <w:bCs/>
          <w:lang w:val="sk-SK"/>
        </w:rPr>
        <w:t xml:space="preserve"> </w:t>
      </w:r>
      <w:r w:rsidRPr="00BC2A88">
        <w:rPr>
          <w:rFonts w:cs="Calibri"/>
          <w:b/>
          <w:bCs/>
          <w:i/>
          <w:lang w:val="sk-SK"/>
        </w:rPr>
        <w:t>Jazyk</w:t>
      </w:r>
      <w:r w:rsidRPr="00BC2A88">
        <w:rPr>
          <w:rFonts w:cs="Calibri"/>
          <w:bCs/>
          <w:lang w:val="sk-SK"/>
        </w:rPr>
        <w:t xml:space="preserve"> </w:t>
      </w:r>
      <w:r w:rsidRPr="00BC2A88">
        <w:rPr>
          <w:rFonts w:cs="Calibri"/>
          <w:b/>
          <w:bCs/>
          <w:i/>
          <w:lang w:val="sk-SK"/>
        </w:rPr>
        <w:t>je len nedokonalým nástrojom uchopenia okolitého sveta</w:t>
      </w:r>
      <w:r w:rsidRPr="00BC2A88">
        <w:rPr>
          <w:rFonts w:cs="Calibri"/>
          <w:bCs/>
          <w:lang w:val="sk-SK"/>
        </w:rPr>
        <w:t xml:space="preserve"> či myšlienok človeka. Písanie a čítanie právnych predpisov je osobitnou formou komunikácie, pričom výklad predpisu používa na odstraňovanie významových nejasností, komunikačného nedorozumenia. </w:t>
      </w:r>
    </w:p>
    <w:p w:rsidR="003648A0" w:rsidRPr="00BC2A88" w:rsidRDefault="003648A0" w:rsidP="00BC2A88">
      <w:pPr>
        <w:autoSpaceDE w:val="0"/>
        <w:autoSpaceDN w:val="0"/>
        <w:adjustRightInd w:val="0"/>
        <w:spacing w:after="120"/>
        <w:jc w:val="both"/>
        <w:rPr>
          <w:rFonts w:cs="Calibri"/>
          <w:lang w:val="sk-SK"/>
        </w:rPr>
      </w:pPr>
      <w:r w:rsidRPr="00BC2A88">
        <w:rPr>
          <w:rFonts w:cs="Calibri"/>
          <w:b/>
          <w:bCs/>
          <w:lang w:val="sk-SK"/>
        </w:rPr>
        <w:t>b)</w:t>
      </w:r>
      <w:r w:rsidRPr="00BC2A88">
        <w:rPr>
          <w:rFonts w:cs="Calibri"/>
          <w:bCs/>
          <w:lang w:val="sk-SK"/>
        </w:rPr>
        <w:t xml:space="preserve"> </w:t>
      </w:r>
      <w:r w:rsidR="00651557">
        <w:rPr>
          <w:rFonts w:cs="Calibri"/>
          <w:b/>
          <w:i/>
          <w:lang w:val="sk-SK"/>
        </w:rPr>
        <w:t>P</w:t>
      </w:r>
      <w:r w:rsidRPr="00BC2A88">
        <w:rPr>
          <w:rFonts w:cs="Calibri"/>
          <w:b/>
          <w:i/>
          <w:lang w:val="sk-SK"/>
        </w:rPr>
        <w:t xml:space="preserve">rávny jazyk je v oveľa väčšej miere všeobecný ako prirodzený jazyk </w:t>
      </w:r>
      <w:r w:rsidRPr="00BC2A88">
        <w:rPr>
          <w:rFonts w:cs="Calibri"/>
          <w:lang w:val="sk-SK"/>
        </w:rPr>
        <w:t xml:space="preserve">a sudcovia ho musia aplikovať na konkrétne prípady s povinnosťou odôvodniť svoje rozhodnutie. </w:t>
      </w:r>
    </w:p>
    <w:p w:rsidR="003648A0" w:rsidRPr="00BC2A88" w:rsidRDefault="003648A0" w:rsidP="00BC2A88">
      <w:pPr>
        <w:autoSpaceDE w:val="0"/>
        <w:autoSpaceDN w:val="0"/>
        <w:adjustRightInd w:val="0"/>
        <w:spacing w:after="120"/>
        <w:jc w:val="both"/>
        <w:rPr>
          <w:rFonts w:cs="Calibri"/>
          <w:bCs/>
          <w:lang w:val="sk-SK"/>
        </w:rPr>
      </w:pPr>
      <w:r w:rsidRPr="00BC2A88">
        <w:rPr>
          <w:rFonts w:cs="Calibri"/>
          <w:b/>
          <w:lang w:val="sk-SK"/>
        </w:rPr>
        <w:t>c)</w:t>
      </w:r>
      <w:r w:rsidRPr="00BC2A88">
        <w:rPr>
          <w:rFonts w:cs="Calibri"/>
          <w:lang w:val="sk-SK"/>
        </w:rPr>
        <w:t xml:space="preserve"> </w:t>
      </w:r>
      <w:r w:rsidR="00651557">
        <w:rPr>
          <w:b/>
          <w:i/>
          <w:lang w:val="sk-SK"/>
        </w:rPr>
        <w:t>P</w:t>
      </w:r>
      <w:r w:rsidRPr="00BC2A88">
        <w:rPr>
          <w:b/>
          <w:i/>
          <w:lang w:val="sk-SK"/>
        </w:rPr>
        <w:t xml:space="preserve">rávo reguluje ľudské správanie v úzkej nadväznosti na dosahovanie verejnoprospešných cieľov, </w:t>
      </w:r>
      <w:r w:rsidRPr="00BC2A88">
        <w:rPr>
          <w:lang w:val="sk-SK"/>
        </w:rPr>
        <w:t>čo znamená, že rozhodnutie, ktorý z výkladov uplatniť v konkrétnom prípade</w:t>
      </w:r>
      <w:r w:rsidR="00651557">
        <w:rPr>
          <w:lang w:val="sk-SK"/>
        </w:rPr>
        <w:t>,</w:t>
      </w:r>
      <w:r w:rsidRPr="00BC2A88">
        <w:rPr>
          <w:lang w:val="sk-SK"/>
        </w:rPr>
        <w:t xml:space="preserve"> </w:t>
      </w:r>
      <w:r w:rsidR="00C75C66" w:rsidRPr="00BC2A88">
        <w:rPr>
          <w:lang w:val="sk-SK"/>
        </w:rPr>
        <w:t>má aj svoju morálnu či politickú dimenziu</w:t>
      </w:r>
      <w:r w:rsidR="00C75C66" w:rsidRPr="00BC2A88">
        <w:rPr>
          <w:b/>
          <w:i/>
          <w:lang w:val="sk-SK"/>
        </w:rPr>
        <w:t xml:space="preserve">. </w:t>
      </w:r>
      <w:r w:rsidRPr="00BC2A88">
        <w:rPr>
          <w:rFonts w:cs="Calibri"/>
          <w:bCs/>
          <w:lang w:val="sk-SK"/>
        </w:rPr>
        <w:t xml:space="preserve"> </w:t>
      </w:r>
    </w:p>
    <w:p w:rsidR="003648A0" w:rsidRPr="00BC2A88" w:rsidRDefault="003648A0" w:rsidP="00BC2A88">
      <w:pPr>
        <w:autoSpaceDE w:val="0"/>
        <w:autoSpaceDN w:val="0"/>
        <w:adjustRightInd w:val="0"/>
        <w:spacing w:after="120"/>
        <w:jc w:val="both"/>
        <w:rPr>
          <w:rFonts w:cs="Calibri"/>
          <w:bCs/>
          <w:lang w:val="sk-SK"/>
        </w:rPr>
      </w:pPr>
      <w:r w:rsidRPr="00BC2A88">
        <w:rPr>
          <w:rFonts w:cs="Calibri"/>
          <w:b/>
          <w:bCs/>
          <w:lang w:val="sk-SK"/>
        </w:rPr>
        <w:t>d)</w:t>
      </w:r>
      <w:r w:rsidRPr="00BC2A88">
        <w:rPr>
          <w:rFonts w:cs="Calibri"/>
          <w:bCs/>
          <w:lang w:val="sk-SK"/>
        </w:rPr>
        <w:t xml:space="preserve"> </w:t>
      </w:r>
      <w:r w:rsidRPr="00BC2A88">
        <w:rPr>
          <w:rFonts w:cs="Calibri"/>
          <w:b/>
          <w:bCs/>
          <w:i/>
          <w:lang w:val="sk-SK"/>
        </w:rPr>
        <w:t>Potrebu výkladu práva umocňuje aj samotné kontradiktórne nastavenie súdneho procesu</w:t>
      </w:r>
      <w:r w:rsidRPr="00BC2A88">
        <w:rPr>
          <w:rFonts w:cs="Calibri"/>
          <w:bCs/>
          <w:lang w:val="sk-SK"/>
        </w:rPr>
        <w:t xml:space="preserve">, v ktorom výhra jednej strany spravidla znamená prehru druhej strany. Takéto nastavenie </w:t>
      </w:r>
      <w:r w:rsidR="00C75C66" w:rsidRPr="00BC2A88">
        <w:rPr>
          <w:rFonts w:cs="Calibri"/>
          <w:bCs/>
          <w:lang w:val="sk-SK"/>
        </w:rPr>
        <w:t>procesu totiž</w:t>
      </w:r>
      <w:r w:rsidRPr="00BC2A88">
        <w:rPr>
          <w:rFonts w:cs="Calibri"/>
          <w:bCs/>
          <w:lang w:val="sk-SK"/>
        </w:rPr>
        <w:t xml:space="preserve"> motivuje právnych zástupcov procesných strán, aby si protirečili a aby uplatňovali tvorivé či inovatívne pohľady na výklad práva. </w:t>
      </w:r>
    </w:p>
    <w:p w:rsidR="003648A0" w:rsidRPr="00BC2A88" w:rsidRDefault="003648A0" w:rsidP="00BC2A88">
      <w:pPr>
        <w:autoSpaceDE w:val="0"/>
        <w:autoSpaceDN w:val="0"/>
        <w:adjustRightInd w:val="0"/>
        <w:spacing w:after="120"/>
        <w:jc w:val="both"/>
        <w:rPr>
          <w:rFonts w:cs="Calibri"/>
          <w:bCs/>
          <w:lang w:val="sk-SK"/>
        </w:rPr>
      </w:pPr>
    </w:p>
    <w:p w:rsidR="003648A0" w:rsidRPr="00BC2A88" w:rsidRDefault="003648A0" w:rsidP="00BC2A88">
      <w:pPr>
        <w:autoSpaceDE w:val="0"/>
        <w:autoSpaceDN w:val="0"/>
        <w:adjustRightInd w:val="0"/>
        <w:spacing w:after="120"/>
        <w:jc w:val="both"/>
        <w:rPr>
          <w:rFonts w:cs="Calibri"/>
          <w:b/>
          <w:bCs/>
          <w:lang w:val="sk-SK"/>
        </w:rPr>
      </w:pPr>
      <w:r w:rsidRPr="00BC2A88">
        <w:rPr>
          <w:rFonts w:cs="Calibri"/>
          <w:b/>
          <w:bCs/>
          <w:lang w:val="sk-SK"/>
        </w:rPr>
        <w:t xml:space="preserve">2. Čo je to význam: </w:t>
      </w:r>
      <w:proofErr w:type="spellStart"/>
      <w:r w:rsidRPr="00BC2A88">
        <w:rPr>
          <w:rFonts w:cs="Calibri"/>
          <w:b/>
          <w:bCs/>
          <w:lang w:val="sk-SK"/>
        </w:rPr>
        <w:t>intencionalizmus</w:t>
      </w:r>
      <w:proofErr w:type="spellEnd"/>
      <w:r w:rsidRPr="00BC2A88">
        <w:rPr>
          <w:rFonts w:cs="Calibri"/>
          <w:b/>
          <w:bCs/>
          <w:lang w:val="sk-SK"/>
        </w:rPr>
        <w:t xml:space="preserve"> a </w:t>
      </w:r>
      <w:proofErr w:type="spellStart"/>
      <w:r w:rsidRPr="00BC2A88">
        <w:rPr>
          <w:rFonts w:cs="Calibri"/>
          <w:b/>
          <w:bCs/>
          <w:lang w:val="sk-SK"/>
        </w:rPr>
        <w:t>hermeneutika</w:t>
      </w:r>
      <w:proofErr w:type="spellEnd"/>
    </w:p>
    <w:p w:rsidR="003648A0" w:rsidRPr="00BC2A88" w:rsidRDefault="00C75C66" w:rsidP="00BC2A88">
      <w:pPr>
        <w:autoSpaceDE w:val="0"/>
        <w:autoSpaceDN w:val="0"/>
        <w:adjustRightInd w:val="0"/>
        <w:spacing w:after="120"/>
        <w:jc w:val="both"/>
        <w:rPr>
          <w:rFonts w:cs="Calibri"/>
          <w:bCs/>
          <w:lang w:val="sk-SK"/>
        </w:rPr>
      </w:pPr>
      <w:r w:rsidRPr="00BC2A88">
        <w:rPr>
          <w:rFonts w:cs="Calibri"/>
          <w:bCs/>
          <w:lang w:val="sk-SK"/>
        </w:rPr>
        <w:t xml:space="preserve">Existujú </w:t>
      </w:r>
      <w:r w:rsidR="003648A0" w:rsidRPr="00BC2A88">
        <w:rPr>
          <w:rFonts w:cs="Calibri"/>
          <w:bCs/>
          <w:lang w:val="sk-SK"/>
        </w:rPr>
        <w:t>rôzne názory</w:t>
      </w:r>
      <w:r w:rsidRPr="00BC2A88">
        <w:rPr>
          <w:rFonts w:cs="Calibri"/>
          <w:bCs/>
          <w:lang w:val="sk-SK"/>
        </w:rPr>
        <w:t xml:space="preserve"> na význam slova „význam“</w:t>
      </w:r>
      <w:r w:rsidR="003648A0" w:rsidRPr="00BC2A88">
        <w:rPr>
          <w:rFonts w:cs="Calibri"/>
          <w:bCs/>
          <w:lang w:val="sk-SK"/>
        </w:rPr>
        <w:t>, z ktorých si spomenieme dva</w:t>
      </w:r>
      <w:r w:rsidRPr="00BC2A88">
        <w:rPr>
          <w:rFonts w:cs="Calibri"/>
          <w:bCs/>
          <w:lang w:val="sk-SK"/>
        </w:rPr>
        <w:t xml:space="preserve"> (B. </w:t>
      </w:r>
      <w:proofErr w:type="spellStart"/>
      <w:r w:rsidRPr="00BC2A88">
        <w:rPr>
          <w:rFonts w:cs="Calibri"/>
          <w:bCs/>
          <w:lang w:val="sk-SK"/>
        </w:rPr>
        <w:t>Fay</w:t>
      </w:r>
      <w:proofErr w:type="spellEnd"/>
      <w:r w:rsidRPr="00BC2A88">
        <w:rPr>
          <w:rFonts w:cs="Calibri"/>
          <w:bCs/>
          <w:lang w:val="sk-SK"/>
        </w:rPr>
        <w:t>)</w:t>
      </w:r>
      <w:r w:rsidR="003648A0" w:rsidRPr="00BC2A88">
        <w:rPr>
          <w:rFonts w:cs="Calibri"/>
          <w:bCs/>
          <w:lang w:val="sk-SK"/>
        </w:rPr>
        <w:t>:</w:t>
      </w:r>
    </w:p>
    <w:p w:rsidR="003648A0" w:rsidRPr="00BC2A88" w:rsidRDefault="003648A0" w:rsidP="00BC2A88">
      <w:pPr>
        <w:autoSpaceDE w:val="0"/>
        <w:autoSpaceDN w:val="0"/>
        <w:adjustRightInd w:val="0"/>
        <w:spacing w:after="120"/>
        <w:jc w:val="both"/>
        <w:rPr>
          <w:rFonts w:cs="Calibri"/>
          <w:bCs/>
          <w:lang w:val="sk-SK"/>
        </w:rPr>
      </w:pPr>
      <w:r w:rsidRPr="00BC2A88">
        <w:rPr>
          <w:rFonts w:cs="Calibri"/>
          <w:b/>
          <w:bCs/>
          <w:lang w:val="sk-SK"/>
        </w:rPr>
        <w:t>a)</w:t>
      </w:r>
      <w:r w:rsidRPr="00BC2A88">
        <w:rPr>
          <w:rFonts w:cs="Calibri"/>
          <w:bCs/>
          <w:lang w:val="sk-SK"/>
        </w:rPr>
        <w:t xml:space="preserve"> </w:t>
      </w:r>
      <w:r w:rsidR="00C75C66" w:rsidRPr="00BC2A88">
        <w:rPr>
          <w:rFonts w:cs="Calibri"/>
          <w:b/>
          <w:bCs/>
          <w:i/>
          <w:lang w:val="sk-SK"/>
        </w:rPr>
        <w:t>Intencionalistický prístup</w:t>
      </w:r>
      <w:r w:rsidR="00C75C66" w:rsidRPr="00BC2A88">
        <w:rPr>
          <w:rFonts w:cs="Calibri"/>
          <w:bCs/>
          <w:lang w:val="sk-SK"/>
        </w:rPr>
        <w:t xml:space="preserve"> vychádza z predpokladu, že </w:t>
      </w:r>
      <w:r w:rsidR="00C75C66" w:rsidRPr="00BC2A88">
        <w:rPr>
          <w:rFonts w:cs="Calibri"/>
          <w:b/>
          <w:bCs/>
          <w:i/>
          <w:lang w:val="sk-SK"/>
        </w:rPr>
        <w:t>význam</w:t>
      </w:r>
      <w:r w:rsidRPr="00BC2A88">
        <w:rPr>
          <w:rFonts w:cs="Calibri"/>
          <w:b/>
          <w:bCs/>
          <w:i/>
          <w:lang w:val="sk-SK"/>
        </w:rPr>
        <w:t xml:space="preserve"> textu </w:t>
      </w:r>
      <w:r w:rsidR="00651557">
        <w:rPr>
          <w:rFonts w:cs="Calibri"/>
          <w:b/>
          <w:bCs/>
          <w:i/>
          <w:lang w:val="sk-SK"/>
        </w:rPr>
        <w:t xml:space="preserve">je </w:t>
      </w:r>
      <w:r w:rsidRPr="00BC2A88">
        <w:rPr>
          <w:rFonts w:cs="Calibri"/>
          <w:b/>
          <w:bCs/>
          <w:i/>
          <w:lang w:val="sk-SK"/>
        </w:rPr>
        <w:t>to, čo ním chcel povedať jeho autor</w:t>
      </w:r>
      <w:r w:rsidRPr="00BC2A88">
        <w:rPr>
          <w:rFonts w:cs="Calibri"/>
          <w:bCs/>
          <w:lang w:val="sk-SK"/>
        </w:rPr>
        <w:t>. Úlohou vykladača zákona je teda čo najvernejš</w:t>
      </w:r>
      <w:r w:rsidR="00651557">
        <w:rPr>
          <w:rFonts w:cs="Calibri"/>
          <w:bCs/>
          <w:lang w:val="sk-SK"/>
        </w:rPr>
        <w:t>ie rekonštruovať tie myšlienkové</w:t>
      </w:r>
      <w:r w:rsidRPr="00BC2A88">
        <w:rPr>
          <w:rFonts w:cs="Calibri"/>
          <w:bCs/>
          <w:lang w:val="sk-SK"/>
        </w:rPr>
        <w:t xml:space="preserve"> pochody zákonodarcu, ktoré ho v čase prijímania zákona viedli k uprednostneniu jednej zákonnej formulácie pred druhou.</w:t>
      </w:r>
    </w:p>
    <w:p w:rsidR="003648A0" w:rsidRPr="00BC2A88" w:rsidRDefault="003648A0" w:rsidP="00BC2A88">
      <w:pPr>
        <w:autoSpaceDE w:val="0"/>
        <w:autoSpaceDN w:val="0"/>
        <w:adjustRightInd w:val="0"/>
        <w:spacing w:after="120"/>
        <w:jc w:val="both"/>
        <w:rPr>
          <w:rFonts w:cs="Calibri"/>
          <w:bCs/>
          <w:lang w:val="sk-SK"/>
        </w:rPr>
      </w:pPr>
      <w:r w:rsidRPr="00BC2A88">
        <w:rPr>
          <w:rFonts w:cs="Calibri"/>
          <w:b/>
          <w:bCs/>
          <w:lang w:val="sk-SK"/>
        </w:rPr>
        <w:t>b)</w:t>
      </w:r>
      <w:r w:rsidRPr="00BC2A88">
        <w:rPr>
          <w:rFonts w:cs="Calibri"/>
          <w:b/>
          <w:bCs/>
          <w:i/>
          <w:lang w:val="sk-SK"/>
        </w:rPr>
        <w:t xml:space="preserve"> Hermeneutický</w:t>
      </w:r>
      <w:r w:rsidRPr="00BC2A88">
        <w:rPr>
          <w:rFonts w:cs="Calibri"/>
          <w:bCs/>
          <w:lang w:val="sk-SK"/>
        </w:rPr>
        <w:t xml:space="preserve"> </w:t>
      </w:r>
      <w:r w:rsidRPr="00BC2A88">
        <w:rPr>
          <w:rFonts w:cs="Calibri"/>
          <w:b/>
          <w:bCs/>
          <w:i/>
          <w:lang w:val="sk-SK"/>
        </w:rPr>
        <w:t xml:space="preserve">prístup </w:t>
      </w:r>
      <w:r w:rsidRPr="00BC2A88">
        <w:rPr>
          <w:rFonts w:cs="Calibri"/>
          <w:bCs/>
          <w:lang w:val="sk-SK"/>
        </w:rPr>
        <w:t>vychádza z predpokladu, že</w:t>
      </w:r>
      <w:r w:rsidRPr="00BC2A88">
        <w:rPr>
          <w:rFonts w:cs="Calibri"/>
          <w:b/>
          <w:bCs/>
          <w:i/>
          <w:lang w:val="sk-SK"/>
        </w:rPr>
        <w:t xml:space="preserve"> význam textu nespočíva v texte samotnom, ale až v jeho pochopení zo strany čitateľa</w:t>
      </w:r>
      <w:r w:rsidRPr="00BC2A88">
        <w:rPr>
          <w:rFonts w:cs="Calibri"/>
          <w:bCs/>
          <w:lang w:val="sk-SK"/>
        </w:rPr>
        <w:t>, ide tu teda o význam „pre niekoho“. V tomto poňatí môžeme tvrdiť, „</w:t>
      </w:r>
      <w:r w:rsidRPr="00BC2A88">
        <w:rPr>
          <w:rFonts w:cs="Calibri"/>
          <w:bCs/>
          <w:i/>
          <w:lang w:val="sk-SK"/>
        </w:rPr>
        <w:t>že význam je v každom konaní prítomný iba potenciálne a že tento potenciálny význam sa aktualizuje až v procese interpretácie a jej prostredníctvom</w:t>
      </w:r>
      <w:r w:rsidR="00C75C66" w:rsidRPr="00BC2A88">
        <w:rPr>
          <w:rFonts w:cs="Calibri"/>
          <w:bCs/>
          <w:lang w:val="sk-SK"/>
        </w:rPr>
        <w:t>“.</w:t>
      </w:r>
    </w:p>
    <w:p w:rsidR="00C75C66" w:rsidRPr="00BC2A88" w:rsidRDefault="00C75C66" w:rsidP="00BC2A88">
      <w:pPr>
        <w:spacing w:after="120"/>
        <w:ind w:left="-284"/>
        <w:jc w:val="both"/>
        <w:rPr>
          <w:rFonts w:cs="Calibri"/>
          <w:bCs/>
          <w:lang w:val="sk-SK"/>
        </w:rPr>
      </w:pPr>
    </w:p>
    <w:p w:rsidR="00C75C66" w:rsidRPr="00BC2A88" w:rsidRDefault="00C75C66" w:rsidP="00BC2A88">
      <w:pPr>
        <w:spacing w:after="120"/>
        <w:ind w:left="-284"/>
        <w:jc w:val="both"/>
        <w:rPr>
          <w:rFonts w:cs="Calibri"/>
          <w:bCs/>
          <w:lang w:val="sk-SK"/>
        </w:rPr>
      </w:pPr>
    </w:p>
    <w:p w:rsidR="003648A0" w:rsidRPr="00BC2A88" w:rsidRDefault="003648A0" w:rsidP="00BC2A88">
      <w:pPr>
        <w:spacing w:after="120"/>
        <w:ind w:left="-284"/>
        <w:jc w:val="both"/>
        <w:rPr>
          <w:rFonts w:cstheme="minorHAnsi"/>
          <w:sz w:val="21"/>
          <w:szCs w:val="21"/>
          <w:lang w:val="sk-SK"/>
        </w:rPr>
      </w:pPr>
    </w:p>
    <w:p w:rsidR="000D00AC" w:rsidRPr="00BC2A88" w:rsidRDefault="000D00AC" w:rsidP="00BC2A88">
      <w:pPr>
        <w:spacing w:after="120"/>
        <w:jc w:val="both"/>
        <w:rPr>
          <w:rFonts w:cstheme="minorHAnsi"/>
          <w:sz w:val="21"/>
          <w:szCs w:val="21"/>
          <w:lang w:val="sk-SK"/>
        </w:rPr>
        <w:sectPr w:rsidR="000D00AC" w:rsidRPr="00BC2A88" w:rsidSect="00B369DC">
          <w:footerReference w:type="default" r:id="rId8"/>
          <w:pgSz w:w="11906" w:h="16838"/>
          <w:pgMar w:top="851" w:right="991" w:bottom="426" w:left="851" w:header="708" w:footer="0" w:gutter="0"/>
          <w:cols w:space="708"/>
          <w:docGrid w:linePitch="360"/>
        </w:sectPr>
      </w:pPr>
    </w:p>
    <w:p w:rsidR="003648A0" w:rsidRPr="00BC2A88" w:rsidRDefault="003648A0" w:rsidP="00BC2A88">
      <w:pPr>
        <w:autoSpaceDE w:val="0"/>
        <w:autoSpaceDN w:val="0"/>
        <w:adjustRightInd w:val="0"/>
        <w:spacing w:after="120"/>
        <w:jc w:val="center"/>
        <w:rPr>
          <w:rFonts w:cs="Calibri"/>
          <w:b/>
          <w:bCs/>
          <w:lang w:val="sk-SK"/>
        </w:rPr>
      </w:pPr>
      <w:r w:rsidRPr="00BC2A88">
        <w:rPr>
          <w:rFonts w:cs="Calibri"/>
          <w:b/>
          <w:bCs/>
          <w:lang w:val="sk-SK"/>
        </w:rPr>
        <w:lastRenderedPageBreak/>
        <w:t>Intencionalistický význam</w:t>
      </w:r>
    </w:p>
    <w:p w:rsidR="003648A0" w:rsidRPr="00BC2A88" w:rsidRDefault="003648A0" w:rsidP="00BC2A88">
      <w:pPr>
        <w:autoSpaceDE w:val="0"/>
        <w:autoSpaceDN w:val="0"/>
        <w:adjustRightInd w:val="0"/>
        <w:spacing w:after="120"/>
        <w:rPr>
          <w:lang w:val="sk-SK"/>
        </w:rPr>
      </w:pPr>
      <w:r w:rsidRPr="00BC2A88">
        <w:rPr>
          <w:lang w:val="sk-SK"/>
        </w:rPr>
        <w:t xml:space="preserve">- </w:t>
      </w:r>
      <w:proofErr w:type="spellStart"/>
      <w:r w:rsidRPr="00BC2A88">
        <w:rPr>
          <w:b/>
          <w:i/>
          <w:lang w:val="sk-SK"/>
        </w:rPr>
        <w:t>monadický</w:t>
      </w:r>
      <w:proofErr w:type="spellEnd"/>
      <w:r w:rsidRPr="00BC2A88">
        <w:rPr>
          <w:lang w:val="sk-SK"/>
        </w:rPr>
        <w:t xml:space="preserve"> </w:t>
      </w:r>
      <w:r w:rsidR="000D00AC" w:rsidRPr="00BC2A88">
        <w:rPr>
          <w:lang w:val="sk-SK"/>
        </w:rPr>
        <w:t xml:space="preserve"> </w:t>
      </w:r>
      <w:r w:rsidRPr="00BC2A88">
        <w:rPr>
          <w:lang w:val="sk-SK"/>
        </w:rPr>
        <w:t>(</w:t>
      </w:r>
      <w:r w:rsidR="000D00AC" w:rsidRPr="00BC2A88">
        <w:rPr>
          <w:lang w:val="sk-SK"/>
        </w:rPr>
        <w:t xml:space="preserve">Význam </w:t>
      </w:r>
      <w:r w:rsidRPr="00BC2A88">
        <w:rPr>
          <w:lang w:val="sk-SK"/>
        </w:rPr>
        <w:t>vychádza z jedného subjektu – autora textu</w:t>
      </w:r>
      <w:r w:rsidR="000D00AC" w:rsidRPr="00BC2A88">
        <w:rPr>
          <w:lang w:val="sk-SK"/>
        </w:rPr>
        <w:t>.</w:t>
      </w:r>
      <w:r w:rsidRPr="00BC2A88">
        <w:rPr>
          <w:lang w:val="sk-SK"/>
        </w:rPr>
        <w:t>)</w:t>
      </w:r>
    </w:p>
    <w:p w:rsidR="003648A0" w:rsidRPr="00BC2A88" w:rsidRDefault="003648A0" w:rsidP="00BC2A88">
      <w:pPr>
        <w:autoSpaceDE w:val="0"/>
        <w:autoSpaceDN w:val="0"/>
        <w:adjustRightInd w:val="0"/>
        <w:spacing w:after="120"/>
        <w:rPr>
          <w:lang w:val="sk-SK"/>
        </w:rPr>
      </w:pPr>
      <w:r w:rsidRPr="00BC2A88">
        <w:rPr>
          <w:lang w:val="sk-SK"/>
        </w:rPr>
        <w:t xml:space="preserve">- </w:t>
      </w:r>
      <w:proofErr w:type="spellStart"/>
      <w:r w:rsidRPr="00BC2A88">
        <w:rPr>
          <w:b/>
          <w:i/>
          <w:lang w:val="sk-SK"/>
        </w:rPr>
        <w:t>univalentný</w:t>
      </w:r>
      <w:proofErr w:type="spellEnd"/>
      <w:r w:rsidR="000D00AC" w:rsidRPr="00BC2A88">
        <w:rPr>
          <w:lang w:val="sk-SK"/>
        </w:rPr>
        <w:t xml:space="preserve"> (T</w:t>
      </w:r>
      <w:r w:rsidRPr="00BC2A88">
        <w:rPr>
          <w:lang w:val="sk-SK"/>
        </w:rPr>
        <w:t xml:space="preserve">ext </w:t>
      </w:r>
      <w:r w:rsidR="00651557">
        <w:rPr>
          <w:lang w:val="sk-SK"/>
        </w:rPr>
        <w:t>má</w:t>
      </w:r>
      <w:r w:rsidRPr="00BC2A88">
        <w:rPr>
          <w:lang w:val="sk-SK"/>
        </w:rPr>
        <w:t xml:space="preserve"> jeden význam fixovaný v čase, kedy vznikol</w:t>
      </w:r>
      <w:r w:rsidR="000D00AC" w:rsidRPr="00BC2A88">
        <w:rPr>
          <w:lang w:val="sk-SK"/>
        </w:rPr>
        <w:t>.</w:t>
      </w:r>
      <w:r w:rsidRPr="00BC2A88">
        <w:rPr>
          <w:lang w:val="sk-SK"/>
        </w:rPr>
        <w:t>)</w:t>
      </w:r>
    </w:p>
    <w:p w:rsidR="003648A0" w:rsidRPr="00BC2A88" w:rsidRDefault="000D00AC" w:rsidP="00BC2A88">
      <w:pPr>
        <w:autoSpaceDE w:val="0"/>
        <w:autoSpaceDN w:val="0"/>
        <w:adjustRightInd w:val="0"/>
        <w:spacing w:after="120"/>
        <w:rPr>
          <w:lang w:val="sk-SK"/>
        </w:rPr>
      </w:pPr>
      <w:r w:rsidRPr="00BC2A88">
        <w:rPr>
          <w:lang w:val="sk-SK"/>
        </w:rPr>
        <w:t>- N</w:t>
      </w:r>
      <w:r w:rsidR="003648A0" w:rsidRPr="00BC2A88">
        <w:rPr>
          <w:lang w:val="sk-SK"/>
        </w:rPr>
        <w:t>ajlepším vykladačom je autor</w:t>
      </w:r>
      <w:r w:rsidRPr="00BC2A88">
        <w:rPr>
          <w:lang w:val="sk-SK"/>
        </w:rPr>
        <w:t xml:space="preserve"> textu.</w:t>
      </w:r>
    </w:p>
    <w:p w:rsidR="003648A0" w:rsidRPr="00BC2A88" w:rsidRDefault="003648A0" w:rsidP="00BC2A88">
      <w:pPr>
        <w:autoSpaceDE w:val="0"/>
        <w:autoSpaceDN w:val="0"/>
        <w:adjustRightInd w:val="0"/>
        <w:spacing w:after="120"/>
        <w:rPr>
          <w:lang w:val="sk-SK"/>
        </w:rPr>
      </w:pPr>
      <w:r w:rsidRPr="00BC2A88">
        <w:rPr>
          <w:lang w:val="sk-SK"/>
        </w:rPr>
        <w:t xml:space="preserve">- v USA </w:t>
      </w:r>
      <w:r w:rsidRPr="00BC2A88">
        <w:rPr>
          <w:b/>
          <w:i/>
          <w:lang w:val="sk-SK"/>
        </w:rPr>
        <w:t xml:space="preserve">teória </w:t>
      </w:r>
      <w:proofErr w:type="spellStart"/>
      <w:r w:rsidRPr="00BC2A88">
        <w:rPr>
          <w:b/>
          <w:i/>
          <w:lang w:val="sk-SK"/>
        </w:rPr>
        <w:t>originalizmu</w:t>
      </w:r>
      <w:proofErr w:type="spellEnd"/>
      <w:r w:rsidRPr="00BC2A88">
        <w:rPr>
          <w:lang w:val="sk-SK"/>
        </w:rPr>
        <w:t>:</w:t>
      </w:r>
      <w:r w:rsidR="000D00AC" w:rsidRPr="00BC2A88">
        <w:rPr>
          <w:lang w:val="sk-SK"/>
        </w:rPr>
        <w:t xml:space="preserve"> Ú</w:t>
      </w:r>
      <w:r w:rsidRPr="00BC2A88">
        <w:rPr>
          <w:lang w:val="sk-SK"/>
        </w:rPr>
        <w:t>lohou ústavy je konzervovať určité hodnoty, preto sa význam textu ústavy nemôže meniť</w:t>
      </w:r>
      <w:r w:rsidR="000D00AC" w:rsidRPr="00BC2A88">
        <w:rPr>
          <w:lang w:val="sk-SK"/>
        </w:rPr>
        <w:t>.</w:t>
      </w:r>
    </w:p>
    <w:p w:rsidR="003648A0" w:rsidRPr="00BC2A88" w:rsidRDefault="003648A0" w:rsidP="00BC2A88">
      <w:pPr>
        <w:autoSpaceDE w:val="0"/>
        <w:autoSpaceDN w:val="0"/>
        <w:adjustRightInd w:val="0"/>
        <w:spacing w:after="120"/>
        <w:rPr>
          <w:lang w:val="sk-SK"/>
        </w:rPr>
      </w:pPr>
    </w:p>
    <w:p w:rsidR="003648A0" w:rsidRPr="00BC2A88" w:rsidRDefault="000D00AC" w:rsidP="00BC2A88">
      <w:pPr>
        <w:autoSpaceDE w:val="0"/>
        <w:autoSpaceDN w:val="0"/>
        <w:adjustRightInd w:val="0"/>
        <w:spacing w:after="120"/>
        <w:rPr>
          <w:lang w:val="sk-SK"/>
        </w:rPr>
      </w:pPr>
      <w:r w:rsidRPr="00BC2A88">
        <w:rPr>
          <w:lang w:val="sk-SK"/>
        </w:rPr>
        <w:t>Nedostatky: V</w:t>
      </w:r>
      <w:r w:rsidR="003648A0" w:rsidRPr="00BC2A88">
        <w:rPr>
          <w:lang w:val="sk-SK"/>
        </w:rPr>
        <w:t> práve sa nedá jednoznačne určiť, kto je autorom textu a čo je jeho úmyslom</w:t>
      </w:r>
      <w:r w:rsidRPr="00BC2A88">
        <w:rPr>
          <w:lang w:val="sk-SK"/>
        </w:rPr>
        <w:t>.</w:t>
      </w:r>
    </w:p>
    <w:p w:rsidR="003648A0" w:rsidRPr="00BC2A88" w:rsidRDefault="003648A0" w:rsidP="00BC2A88">
      <w:pPr>
        <w:autoSpaceDE w:val="0"/>
        <w:autoSpaceDN w:val="0"/>
        <w:adjustRightInd w:val="0"/>
        <w:spacing w:after="120"/>
        <w:jc w:val="center"/>
        <w:rPr>
          <w:b/>
          <w:lang w:val="sk-SK"/>
        </w:rPr>
      </w:pPr>
      <w:r w:rsidRPr="00BC2A88">
        <w:rPr>
          <w:b/>
          <w:lang w:val="sk-SK"/>
        </w:rPr>
        <w:br w:type="column"/>
      </w:r>
      <w:r w:rsidRPr="00BC2A88">
        <w:rPr>
          <w:b/>
          <w:lang w:val="sk-SK"/>
        </w:rPr>
        <w:lastRenderedPageBreak/>
        <w:t>Hermeneutický význam</w:t>
      </w:r>
    </w:p>
    <w:p w:rsidR="003648A0" w:rsidRPr="00BC2A88" w:rsidRDefault="003648A0" w:rsidP="00BC2A88">
      <w:pPr>
        <w:autoSpaceDE w:val="0"/>
        <w:autoSpaceDN w:val="0"/>
        <w:adjustRightInd w:val="0"/>
        <w:spacing w:after="120"/>
        <w:rPr>
          <w:lang w:val="sk-SK"/>
        </w:rPr>
      </w:pPr>
      <w:r w:rsidRPr="00BC2A88">
        <w:rPr>
          <w:lang w:val="sk-SK"/>
        </w:rPr>
        <w:t xml:space="preserve">- </w:t>
      </w:r>
      <w:proofErr w:type="spellStart"/>
      <w:r w:rsidRPr="00BC2A88">
        <w:rPr>
          <w:b/>
          <w:i/>
          <w:lang w:val="sk-SK"/>
        </w:rPr>
        <w:t>dyadický</w:t>
      </w:r>
      <w:proofErr w:type="spellEnd"/>
      <w:r w:rsidRPr="00BC2A88">
        <w:rPr>
          <w:lang w:val="sk-SK"/>
        </w:rPr>
        <w:t xml:space="preserve"> (</w:t>
      </w:r>
      <w:r w:rsidR="000D00AC" w:rsidRPr="00BC2A88">
        <w:rPr>
          <w:lang w:val="sk-SK"/>
        </w:rPr>
        <w:t xml:space="preserve">Význam </w:t>
      </w:r>
      <w:r w:rsidRPr="00BC2A88">
        <w:rPr>
          <w:lang w:val="sk-SK"/>
        </w:rPr>
        <w:t>vychádza zo vzťahu medzi autorom a čitateľom textu</w:t>
      </w:r>
      <w:r w:rsidR="000D00AC" w:rsidRPr="00BC2A88">
        <w:rPr>
          <w:lang w:val="sk-SK"/>
        </w:rPr>
        <w:t>.</w:t>
      </w:r>
      <w:r w:rsidRPr="00BC2A88">
        <w:rPr>
          <w:lang w:val="sk-SK"/>
        </w:rPr>
        <w:t>)</w:t>
      </w:r>
    </w:p>
    <w:p w:rsidR="003648A0" w:rsidRPr="00BC2A88" w:rsidRDefault="003648A0" w:rsidP="00BC2A88">
      <w:pPr>
        <w:autoSpaceDE w:val="0"/>
        <w:autoSpaceDN w:val="0"/>
        <w:adjustRightInd w:val="0"/>
        <w:spacing w:after="120"/>
        <w:rPr>
          <w:lang w:val="sk-SK"/>
        </w:rPr>
      </w:pPr>
      <w:r w:rsidRPr="00BC2A88">
        <w:rPr>
          <w:lang w:val="sk-SK"/>
        </w:rPr>
        <w:t xml:space="preserve">- </w:t>
      </w:r>
      <w:proofErr w:type="spellStart"/>
      <w:r w:rsidRPr="00BC2A88">
        <w:rPr>
          <w:b/>
          <w:i/>
          <w:lang w:val="sk-SK"/>
        </w:rPr>
        <w:t>polyvalentný</w:t>
      </w:r>
      <w:proofErr w:type="spellEnd"/>
      <w:r w:rsidRPr="00BC2A88">
        <w:rPr>
          <w:lang w:val="sk-SK"/>
        </w:rPr>
        <w:t xml:space="preserve"> (</w:t>
      </w:r>
      <w:r w:rsidR="000D00AC" w:rsidRPr="00BC2A88">
        <w:rPr>
          <w:lang w:val="sk-SK"/>
        </w:rPr>
        <w:t xml:space="preserve">Význam </w:t>
      </w:r>
      <w:r w:rsidRPr="00BC2A88">
        <w:rPr>
          <w:lang w:val="sk-SK"/>
        </w:rPr>
        <w:t>text</w:t>
      </w:r>
      <w:r w:rsidR="000D00AC" w:rsidRPr="00BC2A88">
        <w:rPr>
          <w:lang w:val="sk-SK"/>
        </w:rPr>
        <w:t>u sa</w:t>
      </w:r>
      <w:r w:rsidRPr="00BC2A88">
        <w:rPr>
          <w:lang w:val="sk-SK"/>
        </w:rPr>
        <w:t xml:space="preserve"> môže </w:t>
      </w:r>
      <w:r w:rsidR="000D00AC" w:rsidRPr="00BC2A88">
        <w:rPr>
          <w:lang w:val="sk-SK"/>
        </w:rPr>
        <w:t>meniť</w:t>
      </w:r>
      <w:r w:rsidRPr="00BC2A88">
        <w:rPr>
          <w:lang w:val="sk-SK"/>
        </w:rPr>
        <w:t xml:space="preserve"> plynutím času a zmenou prostredia</w:t>
      </w:r>
      <w:r w:rsidR="000D00AC" w:rsidRPr="00BC2A88">
        <w:rPr>
          <w:lang w:val="sk-SK"/>
        </w:rPr>
        <w:t>.</w:t>
      </w:r>
      <w:r w:rsidRPr="00BC2A88">
        <w:rPr>
          <w:lang w:val="sk-SK"/>
        </w:rPr>
        <w:t>)</w:t>
      </w:r>
    </w:p>
    <w:p w:rsidR="003648A0" w:rsidRPr="00BC2A88" w:rsidRDefault="000D00AC" w:rsidP="00BC2A88">
      <w:pPr>
        <w:autoSpaceDE w:val="0"/>
        <w:autoSpaceDN w:val="0"/>
        <w:adjustRightInd w:val="0"/>
        <w:spacing w:after="120"/>
        <w:rPr>
          <w:lang w:val="sk-SK"/>
        </w:rPr>
      </w:pPr>
      <w:r w:rsidRPr="00BC2A88">
        <w:rPr>
          <w:lang w:val="sk-SK"/>
        </w:rPr>
        <w:t>- Č</w:t>
      </w:r>
      <w:r w:rsidR="003648A0" w:rsidRPr="00BC2A88">
        <w:rPr>
          <w:lang w:val="sk-SK"/>
        </w:rPr>
        <w:t>itateľ môže byť lepším vykladačom ako autor</w:t>
      </w:r>
      <w:r w:rsidRPr="00BC2A88">
        <w:rPr>
          <w:lang w:val="sk-SK"/>
        </w:rPr>
        <w:t>.</w:t>
      </w:r>
    </w:p>
    <w:p w:rsidR="003648A0" w:rsidRPr="00BC2A88" w:rsidRDefault="003648A0" w:rsidP="00BC2A88">
      <w:pPr>
        <w:autoSpaceDE w:val="0"/>
        <w:autoSpaceDN w:val="0"/>
        <w:adjustRightInd w:val="0"/>
        <w:spacing w:after="120"/>
        <w:rPr>
          <w:lang w:val="sk-SK"/>
        </w:rPr>
      </w:pPr>
      <w:r w:rsidRPr="00BC2A88">
        <w:rPr>
          <w:lang w:val="sk-SK"/>
        </w:rPr>
        <w:t xml:space="preserve">- v USA </w:t>
      </w:r>
      <w:r w:rsidRPr="00BC2A88">
        <w:rPr>
          <w:b/>
          <w:i/>
          <w:lang w:val="sk-SK"/>
        </w:rPr>
        <w:t>teória živej ústavy</w:t>
      </w:r>
      <w:r w:rsidR="000D00AC" w:rsidRPr="00BC2A88">
        <w:rPr>
          <w:lang w:val="sk-SK"/>
        </w:rPr>
        <w:t>: Ú</w:t>
      </w:r>
      <w:r w:rsidRPr="00BC2A88">
        <w:rPr>
          <w:lang w:val="sk-SK"/>
        </w:rPr>
        <w:t>stava nie je muzeálna fosília, ale živý dokument</w:t>
      </w:r>
      <w:r w:rsidR="00651557">
        <w:rPr>
          <w:lang w:val="sk-SK"/>
        </w:rPr>
        <w:t>.</w:t>
      </w:r>
    </w:p>
    <w:p w:rsidR="003648A0" w:rsidRPr="00BC2A88" w:rsidRDefault="003648A0" w:rsidP="00BC2A88">
      <w:pPr>
        <w:autoSpaceDE w:val="0"/>
        <w:autoSpaceDN w:val="0"/>
        <w:adjustRightInd w:val="0"/>
        <w:spacing w:after="120"/>
        <w:rPr>
          <w:lang w:val="sk-SK"/>
        </w:rPr>
      </w:pPr>
      <w:r w:rsidRPr="00BC2A88">
        <w:rPr>
          <w:lang w:val="sk-SK"/>
        </w:rPr>
        <w:t xml:space="preserve">- v Európe </w:t>
      </w:r>
      <w:proofErr w:type="spellStart"/>
      <w:r w:rsidRPr="00BC2A88">
        <w:rPr>
          <w:b/>
          <w:i/>
          <w:lang w:val="sk-SK"/>
        </w:rPr>
        <w:t>evolutívny</w:t>
      </w:r>
      <w:proofErr w:type="spellEnd"/>
      <w:r w:rsidRPr="00BC2A88">
        <w:rPr>
          <w:b/>
          <w:i/>
          <w:lang w:val="sk-SK"/>
        </w:rPr>
        <w:t xml:space="preserve"> výklad</w:t>
      </w:r>
      <w:r w:rsidR="000D00AC" w:rsidRPr="00BC2A88">
        <w:rPr>
          <w:lang w:val="sk-SK"/>
        </w:rPr>
        <w:t xml:space="preserve">: ESĽP v prípade </w:t>
      </w:r>
      <w:proofErr w:type="spellStart"/>
      <w:r w:rsidR="000D00AC" w:rsidRPr="00BC2A88">
        <w:rPr>
          <w:lang w:val="sk-SK"/>
        </w:rPr>
        <w:t>Tyrer</w:t>
      </w:r>
      <w:proofErr w:type="spellEnd"/>
      <w:r w:rsidR="000D00AC" w:rsidRPr="00BC2A88">
        <w:rPr>
          <w:lang w:val="sk-SK"/>
        </w:rPr>
        <w:t>: „B</w:t>
      </w:r>
      <w:r w:rsidRPr="00BC2A88">
        <w:rPr>
          <w:lang w:val="sk-SK"/>
        </w:rPr>
        <w:t>ičovanie je ponižujúci trest</w:t>
      </w:r>
      <w:r w:rsidR="000D00AC" w:rsidRPr="00BC2A88">
        <w:rPr>
          <w:lang w:val="sk-SK"/>
        </w:rPr>
        <w:t>.</w:t>
      </w:r>
      <w:r w:rsidRPr="00BC2A88">
        <w:rPr>
          <w:lang w:val="sk-SK"/>
        </w:rPr>
        <w:t xml:space="preserve">“ </w:t>
      </w:r>
    </w:p>
    <w:p w:rsidR="003648A0" w:rsidRPr="00BC2A88" w:rsidRDefault="000D00AC" w:rsidP="00BC2A88">
      <w:pPr>
        <w:autoSpaceDE w:val="0"/>
        <w:autoSpaceDN w:val="0"/>
        <w:adjustRightInd w:val="0"/>
        <w:spacing w:after="120"/>
        <w:rPr>
          <w:lang w:val="sk-SK"/>
        </w:rPr>
      </w:pPr>
      <w:r w:rsidRPr="00BC2A88">
        <w:rPr>
          <w:lang w:val="sk-SK"/>
        </w:rPr>
        <w:t>Nedostatky: Č</w:t>
      </w:r>
      <w:r w:rsidR="003648A0" w:rsidRPr="00BC2A88">
        <w:rPr>
          <w:lang w:val="sk-SK"/>
        </w:rPr>
        <w:t>itateľ projektuje do textu svoje vlastné subjektívne preferencie, teda sudca má pri výklade väčšiu voľnosť</w:t>
      </w:r>
      <w:r w:rsidRPr="00BC2A88">
        <w:rPr>
          <w:lang w:val="sk-SK"/>
        </w:rPr>
        <w:t>.</w:t>
      </w:r>
    </w:p>
    <w:p w:rsidR="003648A0" w:rsidRPr="00BC2A88" w:rsidRDefault="003648A0" w:rsidP="00BC2A88">
      <w:pPr>
        <w:autoSpaceDE w:val="0"/>
        <w:autoSpaceDN w:val="0"/>
        <w:adjustRightInd w:val="0"/>
        <w:spacing w:after="120"/>
        <w:jc w:val="both"/>
        <w:rPr>
          <w:lang w:val="sk-SK"/>
        </w:rPr>
        <w:sectPr w:rsidR="003648A0" w:rsidRPr="00BC2A88" w:rsidSect="004C6258">
          <w:type w:val="continuous"/>
          <w:pgSz w:w="11906" w:h="16838"/>
          <w:pgMar w:top="851" w:right="1274" w:bottom="851" w:left="851" w:header="708" w:footer="0" w:gutter="0"/>
          <w:cols w:num="2" w:space="708"/>
          <w:docGrid w:linePitch="360"/>
        </w:sectPr>
      </w:pPr>
    </w:p>
    <w:p w:rsidR="004106E0" w:rsidRDefault="004106E0" w:rsidP="00BC2A88">
      <w:pPr>
        <w:autoSpaceDE w:val="0"/>
        <w:autoSpaceDN w:val="0"/>
        <w:adjustRightInd w:val="0"/>
        <w:spacing w:after="120"/>
        <w:jc w:val="both"/>
        <w:rPr>
          <w:rFonts w:cstheme="minorHAnsi"/>
          <w:sz w:val="21"/>
          <w:szCs w:val="21"/>
          <w:lang w:val="sk-SK"/>
        </w:rPr>
      </w:pPr>
    </w:p>
    <w:p w:rsidR="00FD363E" w:rsidRPr="00BC2A88" w:rsidRDefault="00FD363E" w:rsidP="00BC2A88">
      <w:pPr>
        <w:autoSpaceDE w:val="0"/>
        <w:autoSpaceDN w:val="0"/>
        <w:adjustRightInd w:val="0"/>
        <w:spacing w:after="120"/>
        <w:jc w:val="both"/>
        <w:rPr>
          <w:i/>
          <w:lang w:val="sk-SK"/>
        </w:rPr>
      </w:pPr>
      <w:r w:rsidRPr="00BC2A88">
        <w:rPr>
          <w:rFonts w:cstheme="minorHAnsi"/>
          <w:sz w:val="21"/>
          <w:szCs w:val="21"/>
          <w:lang w:val="sk-SK"/>
        </w:rPr>
        <w:t xml:space="preserve">Vhodnou kombináciou týchto predpokladov právnici konštruujú tzv. </w:t>
      </w:r>
      <w:r w:rsidRPr="00BC2A88">
        <w:rPr>
          <w:rFonts w:cstheme="minorHAnsi"/>
          <w:b/>
          <w:i/>
          <w:sz w:val="21"/>
          <w:szCs w:val="21"/>
          <w:lang w:val="sk-SK"/>
        </w:rPr>
        <w:t>hermeneutický predpoklad racionálneho zákonodarcu</w:t>
      </w:r>
      <w:r w:rsidRPr="00BC2A88">
        <w:rPr>
          <w:rFonts w:cstheme="minorHAnsi"/>
          <w:sz w:val="21"/>
          <w:szCs w:val="21"/>
          <w:lang w:val="sk-SK"/>
        </w:rPr>
        <w:t xml:space="preserve">. Podľa tohto predpokladu platí, že </w:t>
      </w:r>
      <w:r w:rsidRPr="00BC2A88">
        <w:rPr>
          <w:rFonts w:cs="Calibri"/>
          <w:i/>
          <w:lang w:val="sk-SK"/>
        </w:rPr>
        <w:t>význam zákona pochopíme lepšie, keď budeme predpokladať, že ho napísal autor, ktorý nám chcel povedať niečo zmysluplné a ktorý aj väčšinou vie, ako to má urobiť</w:t>
      </w:r>
      <w:r w:rsidRPr="00BC2A88">
        <w:rPr>
          <w:rFonts w:cs="Calibri"/>
          <w:lang w:val="sk-SK"/>
        </w:rPr>
        <w:t xml:space="preserve">. Ide o požiadavku výkladovej ústretovosti. </w:t>
      </w:r>
    </w:p>
    <w:p w:rsidR="00FD363E" w:rsidRPr="00BC2A88" w:rsidRDefault="00FD363E" w:rsidP="00BC2A88">
      <w:pPr>
        <w:tabs>
          <w:tab w:val="left" w:pos="5350"/>
        </w:tabs>
        <w:spacing w:after="120"/>
        <w:jc w:val="both"/>
        <w:rPr>
          <w:rFonts w:cstheme="minorHAnsi"/>
          <w:b/>
          <w:sz w:val="21"/>
          <w:szCs w:val="21"/>
          <w:lang w:val="sk-SK"/>
        </w:rPr>
      </w:pPr>
    </w:p>
    <w:p w:rsidR="00005545" w:rsidRPr="00BC2A88" w:rsidRDefault="00005545" w:rsidP="00BC2A88">
      <w:pPr>
        <w:jc w:val="both"/>
        <w:rPr>
          <w:rFonts w:cs="Calibri"/>
          <w:b/>
          <w:lang w:val="sk-SK"/>
        </w:rPr>
      </w:pPr>
      <w:r w:rsidRPr="00BC2A88">
        <w:rPr>
          <w:rFonts w:cs="Calibri"/>
          <w:b/>
          <w:lang w:val="sk-SK"/>
        </w:rPr>
        <w:t>3. Metódy výkladu</w:t>
      </w:r>
    </w:p>
    <w:p w:rsidR="003648A0" w:rsidRDefault="00005545" w:rsidP="00BC2A88">
      <w:pPr>
        <w:jc w:val="both"/>
        <w:rPr>
          <w:rFonts w:cs="Calibri"/>
          <w:lang w:val="sk-SK"/>
        </w:rPr>
      </w:pPr>
      <w:r w:rsidRPr="00BC2A88">
        <w:rPr>
          <w:rFonts w:cs="Calibri"/>
          <w:lang w:val="sk-SK"/>
        </w:rPr>
        <w:t xml:space="preserve">Úlohou metodológie je podriadiť ľudskú myseľ určitým pravidlám, aby pri rovnakých vstupoch dospievala k rovnakým výstupom. Problémom však je, že </w:t>
      </w:r>
      <w:r w:rsidRPr="00BC2A88">
        <w:rPr>
          <w:rFonts w:cs="Calibri"/>
          <w:b/>
          <w:i/>
          <w:lang w:val="sk-SK"/>
        </w:rPr>
        <w:t>metodológia výkladu práva obsahuje viacero rôznych metód, pričom ich paralelné uplatnenie na jeden skutkový stav môže viesť k protichodným výsledkom</w:t>
      </w:r>
      <w:r w:rsidRPr="00BC2A88">
        <w:rPr>
          <w:rFonts w:cs="Calibri"/>
          <w:lang w:val="sk-SK"/>
        </w:rPr>
        <w:t>.</w:t>
      </w:r>
      <w:r w:rsidR="00BC2A88">
        <w:rPr>
          <w:rFonts w:cs="Calibri"/>
          <w:lang w:val="sk-SK"/>
        </w:rPr>
        <w:t xml:space="preserve"> Jednotlivé výkladové metódy sú nasledujúce:</w:t>
      </w:r>
    </w:p>
    <w:p w:rsidR="00005545" w:rsidRDefault="00BC2A88" w:rsidP="00BC2A88">
      <w:pPr>
        <w:jc w:val="both"/>
        <w:rPr>
          <w:rFonts w:cs="Calibri"/>
          <w:bCs/>
          <w:lang w:val="sk-SK"/>
        </w:rPr>
      </w:pPr>
      <w:r w:rsidRPr="00BC2A88">
        <w:rPr>
          <w:rFonts w:cs="Calibri"/>
          <w:b/>
          <w:lang w:val="sk-SK"/>
        </w:rPr>
        <w:t>Gramatický výklad</w:t>
      </w:r>
      <w:r>
        <w:rPr>
          <w:rFonts w:cs="Calibri"/>
          <w:lang w:val="sk-SK"/>
        </w:rPr>
        <w:t xml:space="preserve"> – všímame si jazykové znenie pravidla, jeho syntax, etymológiu či štylistiku. </w:t>
      </w:r>
      <w:r>
        <w:rPr>
          <w:rFonts w:cs="Calibri"/>
          <w:bCs/>
          <w:lang w:val="sk-SK"/>
        </w:rPr>
        <w:t>N</w:t>
      </w:r>
      <w:r w:rsidR="00005545" w:rsidRPr="00BC2A88">
        <w:rPr>
          <w:rFonts w:cs="Calibri"/>
          <w:bCs/>
          <w:lang w:val="sk-SK"/>
        </w:rPr>
        <w:t xml:space="preserve">a odstránenie </w:t>
      </w:r>
      <w:r>
        <w:rPr>
          <w:rFonts w:cs="Calibri"/>
          <w:bCs/>
          <w:lang w:val="sk-SK"/>
        </w:rPr>
        <w:t xml:space="preserve">výkladových </w:t>
      </w:r>
      <w:r w:rsidR="00005545" w:rsidRPr="00BC2A88">
        <w:rPr>
          <w:rFonts w:cs="Calibri"/>
          <w:bCs/>
          <w:lang w:val="sk-SK"/>
        </w:rPr>
        <w:t>pochybností niekedy stačí zacitovať uznávaný slovník spisovného jazyka</w:t>
      </w:r>
      <w:r>
        <w:rPr>
          <w:rFonts w:cs="Calibri"/>
          <w:bCs/>
          <w:lang w:val="sk-SK"/>
        </w:rPr>
        <w:t xml:space="preserve">, ak je interpretovaný výraz súčasťou prirodzeného jazyka, alebo uznávaný právnický slovník, učebnicu či komentár, ak je interpretovaný výraz súčasťou ustálenej právnej terminológie. Napokon mnoho </w:t>
      </w:r>
      <w:r w:rsidR="00005545" w:rsidRPr="00BC2A88">
        <w:rPr>
          <w:rFonts w:cs="Calibri"/>
          <w:bCs/>
          <w:lang w:val="sk-SK"/>
        </w:rPr>
        <w:t xml:space="preserve">zákonných termínov nemá svoju kodifikovanú definíciu, takže právnikom neostáva nič iné len sa pozrieť do judikatúry, kde hľadajú, ako tieto výrazy používajú súdy. </w:t>
      </w:r>
      <w:r w:rsidRPr="00BC2A88">
        <w:rPr>
          <w:rFonts w:cs="Calibri"/>
          <w:bCs/>
          <w:lang w:val="sk-SK"/>
        </w:rPr>
        <w:t>Š</w:t>
      </w:r>
      <w:r w:rsidR="00005545" w:rsidRPr="00BC2A88">
        <w:rPr>
          <w:rFonts w:cs="Calibri"/>
          <w:bCs/>
          <w:lang w:val="sk-SK"/>
        </w:rPr>
        <w:t xml:space="preserve">túdiom predošlých súdnych rozhodnutí sa </w:t>
      </w:r>
      <w:r w:rsidRPr="00BC2A88">
        <w:rPr>
          <w:rFonts w:cs="Calibri"/>
          <w:bCs/>
          <w:lang w:val="sk-SK"/>
        </w:rPr>
        <w:t xml:space="preserve">teda </w:t>
      </w:r>
      <w:r w:rsidR="00005545" w:rsidRPr="00BC2A88">
        <w:rPr>
          <w:rFonts w:cs="Calibri"/>
          <w:bCs/>
          <w:lang w:val="sk-SK"/>
        </w:rPr>
        <w:t xml:space="preserve">učíme, ako funguje gramatika zákonov, čím si kultivujeme právnické </w:t>
      </w:r>
      <w:proofErr w:type="spellStart"/>
      <w:r w:rsidR="00005545" w:rsidRPr="00BC2A88">
        <w:rPr>
          <w:rFonts w:cs="Calibri"/>
          <w:bCs/>
          <w:lang w:val="sk-SK"/>
        </w:rPr>
        <w:t>predporozumenie</w:t>
      </w:r>
      <w:proofErr w:type="spellEnd"/>
      <w:r w:rsidR="00005545" w:rsidRPr="00BC2A88">
        <w:rPr>
          <w:rFonts w:cs="Calibri"/>
          <w:bCs/>
          <w:lang w:val="sk-SK"/>
        </w:rPr>
        <w:t xml:space="preserve"> potrebné pre ich kvalifikovaný výklad.</w:t>
      </w:r>
    </w:p>
    <w:p w:rsidR="00BC2A88" w:rsidRDefault="00005545" w:rsidP="00BC2A88">
      <w:pPr>
        <w:jc w:val="both"/>
        <w:rPr>
          <w:rFonts w:cs="Calibri"/>
          <w:bCs/>
          <w:lang w:val="sk-SK"/>
        </w:rPr>
      </w:pPr>
      <w:r w:rsidRPr="00BC2A88">
        <w:rPr>
          <w:rFonts w:cs="Calibri"/>
          <w:b/>
          <w:bCs/>
          <w:i/>
          <w:lang w:val="sk-SK"/>
        </w:rPr>
        <w:t>Systematický výklad</w:t>
      </w:r>
      <w:r w:rsidRPr="00BC2A88">
        <w:rPr>
          <w:rFonts w:cs="Calibri"/>
          <w:bCs/>
          <w:lang w:val="sk-SK"/>
        </w:rPr>
        <w:t xml:space="preserve"> </w:t>
      </w:r>
      <w:r w:rsidR="00BC2A88">
        <w:rPr>
          <w:rFonts w:cs="Calibri"/>
          <w:bCs/>
          <w:lang w:val="sk-SK"/>
        </w:rPr>
        <w:t xml:space="preserve">– všímame si vzájomnú súvislosť normatívnych právnych viet, </w:t>
      </w:r>
      <w:r w:rsidRPr="00BC2A88">
        <w:rPr>
          <w:rFonts w:cs="Calibri"/>
          <w:bCs/>
          <w:lang w:val="sk-SK"/>
        </w:rPr>
        <w:t>ich situovanie v rámci právneho predpisu, celkovú štruktúru textu a právneho poriadku. Argumenty systematického výkladu vychádzajú zo základnej premisy, podľa ktorej „</w:t>
      </w:r>
      <w:r w:rsidRPr="00BC2A88">
        <w:rPr>
          <w:rFonts w:cs="Calibri"/>
          <w:bCs/>
          <w:i/>
          <w:lang w:val="sk-SK"/>
        </w:rPr>
        <w:t>právna úprava obsiahnutá v určitom systémovom celku zákonodarstva (právny predpis alebo jeho určitá časť) sa vzťahuje k matérii upravenej práve v tomto celku, a nie k ostatným matériám upraveným v iných systematických celkoch rovnakej úrovne</w:t>
      </w:r>
      <w:r w:rsidR="00BC2A88" w:rsidRPr="00BC2A88">
        <w:rPr>
          <w:rFonts w:cs="Calibri"/>
          <w:bCs/>
          <w:lang w:val="sk-SK"/>
        </w:rPr>
        <w:t>“</w:t>
      </w:r>
      <w:r w:rsidR="00BC2A88">
        <w:rPr>
          <w:rFonts w:cs="Calibri"/>
          <w:bCs/>
          <w:lang w:val="sk-SK"/>
        </w:rPr>
        <w:t xml:space="preserve"> (F. </w:t>
      </w:r>
      <w:proofErr w:type="spellStart"/>
      <w:r w:rsidR="00BC2A88">
        <w:rPr>
          <w:rFonts w:cs="Calibri"/>
          <w:bCs/>
          <w:lang w:val="sk-SK"/>
        </w:rPr>
        <w:t>Melzer</w:t>
      </w:r>
      <w:proofErr w:type="spellEnd"/>
      <w:r w:rsidR="00BC2A88">
        <w:rPr>
          <w:rFonts w:cs="Calibri"/>
          <w:bCs/>
          <w:lang w:val="sk-SK"/>
        </w:rPr>
        <w:t>).</w:t>
      </w:r>
      <w:r w:rsidR="00BC2A88" w:rsidRPr="00BC2A88">
        <w:rPr>
          <w:rFonts w:cs="Calibri"/>
          <w:bCs/>
          <w:lang w:val="sk-SK"/>
        </w:rPr>
        <w:t xml:space="preserve"> </w:t>
      </w:r>
      <w:r w:rsidRPr="00BC2A88">
        <w:rPr>
          <w:rFonts w:cs="Calibri"/>
          <w:bCs/>
          <w:lang w:val="sk-SK"/>
        </w:rPr>
        <w:t xml:space="preserve">K vytrhávaniu z kontextu teda dochádza nielen vtedy, keď jednotlivé slová či vety interpretujeme izolovane od seba, ale naopak aj vtedy, keď ich násilne včleňujeme do kontextov, do ktorých nepatria; keď ich spájame so slovami a vetami, s ktorými nevytvárajú žiadny funkčný vzťah. </w:t>
      </w:r>
      <w:r w:rsidR="004106E0">
        <w:rPr>
          <w:rFonts w:cs="Calibri"/>
          <w:bCs/>
          <w:lang w:val="sk-SK"/>
        </w:rPr>
        <w:t xml:space="preserve">Systematickým argumentom je </w:t>
      </w:r>
      <w:r w:rsidR="004106E0" w:rsidRPr="00BC2A88">
        <w:rPr>
          <w:rFonts w:cs="Calibri"/>
          <w:b/>
          <w:bCs/>
          <w:i/>
          <w:lang w:val="sk-SK"/>
        </w:rPr>
        <w:t>argument a</w:t>
      </w:r>
      <w:r w:rsidR="004106E0">
        <w:rPr>
          <w:rFonts w:cs="Calibri"/>
          <w:b/>
          <w:bCs/>
          <w:i/>
          <w:lang w:val="sk-SK"/>
        </w:rPr>
        <w:t> </w:t>
      </w:r>
      <w:proofErr w:type="spellStart"/>
      <w:r w:rsidR="004106E0" w:rsidRPr="00BC2A88">
        <w:rPr>
          <w:rFonts w:cs="Calibri"/>
          <w:b/>
          <w:bCs/>
          <w:i/>
          <w:lang w:val="sk-SK"/>
        </w:rPr>
        <w:t>rubricam</w:t>
      </w:r>
      <w:proofErr w:type="spellEnd"/>
      <w:r w:rsidR="004106E0">
        <w:rPr>
          <w:rFonts w:cs="Calibri"/>
          <w:b/>
          <w:bCs/>
          <w:i/>
          <w:lang w:val="sk-SK"/>
        </w:rPr>
        <w:t>.</w:t>
      </w:r>
    </w:p>
    <w:p w:rsidR="00BC2A88" w:rsidRDefault="004106E0" w:rsidP="00BC2A88">
      <w:pPr>
        <w:jc w:val="both"/>
        <w:rPr>
          <w:rFonts w:cs="Calibri"/>
          <w:bCs/>
          <w:lang w:val="sk-SK"/>
        </w:rPr>
      </w:pPr>
      <w:r w:rsidRPr="004106E0">
        <w:rPr>
          <w:rFonts w:cs="Calibri"/>
          <w:b/>
          <w:bCs/>
          <w:lang w:val="sk-SK"/>
        </w:rPr>
        <w:lastRenderedPageBreak/>
        <w:t>Logická metóda výkladu</w:t>
      </w:r>
      <w:r>
        <w:rPr>
          <w:rFonts w:cs="Calibri"/>
          <w:bCs/>
          <w:lang w:val="sk-SK"/>
        </w:rPr>
        <w:t xml:space="preserve"> – právnici používajú tzv. </w:t>
      </w:r>
      <w:r w:rsidRPr="004106E0">
        <w:rPr>
          <w:rFonts w:cs="Calibri"/>
          <w:b/>
          <w:bCs/>
          <w:i/>
          <w:lang w:val="sk-SK"/>
        </w:rPr>
        <w:t>argumenty právnej logiky</w:t>
      </w:r>
      <w:r>
        <w:rPr>
          <w:rFonts w:cs="Calibri"/>
          <w:bCs/>
          <w:lang w:val="sk-SK"/>
        </w:rPr>
        <w:t>, tie však nemajú čisto logickú štruktúru a bežne sa používajú aj mimo oblasť práva.</w:t>
      </w:r>
    </w:p>
    <w:p w:rsidR="004106E0" w:rsidRDefault="00005545" w:rsidP="004106E0">
      <w:pPr>
        <w:jc w:val="both"/>
        <w:rPr>
          <w:rFonts w:cs="Calibri"/>
          <w:bCs/>
          <w:lang w:val="sk-SK"/>
        </w:rPr>
      </w:pPr>
      <w:r w:rsidRPr="00BC2A88">
        <w:rPr>
          <w:rFonts w:cs="Calibri"/>
          <w:b/>
          <w:bCs/>
          <w:i/>
          <w:lang w:val="sk-SK"/>
        </w:rPr>
        <w:t>Argument</w:t>
      </w:r>
      <w:r w:rsidRPr="00BC2A88">
        <w:rPr>
          <w:rFonts w:cs="Calibri"/>
          <w:b/>
          <w:bCs/>
          <w:lang w:val="sk-SK"/>
        </w:rPr>
        <w:t xml:space="preserve"> </w:t>
      </w:r>
      <w:r w:rsidRPr="00BC2A88">
        <w:rPr>
          <w:rFonts w:cs="Calibri"/>
          <w:b/>
          <w:bCs/>
          <w:i/>
          <w:lang w:val="sk-SK"/>
        </w:rPr>
        <w:t>a </w:t>
      </w:r>
      <w:proofErr w:type="spellStart"/>
      <w:r w:rsidRPr="00BC2A88">
        <w:rPr>
          <w:rFonts w:cs="Calibri"/>
          <w:b/>
          <w:bCs/>
          <w:i/>
          <w:lang w:val="sk-SK"/>
        </w:rPr>
        <w:t>contrario</w:t>
      </w:r>
      <w:proofErr w:type="spellEnd"/>
      <w:r w:rsidRPr="00BC2A88">
        <w:rPr>
          <w:rFonts w:cs="Calibri"/>
          <w:bCs/>
          <w:lang w:val="sk-SK"/>
        </w:rPr>
        <w:t xml:space="preserve"> znamená dôkaz opaku</w:t>
      </w:r>
      <w:r w:rsidR="004106E0">
        <w:rPr>
          <w:rFonts w:cs="Calibri"/>
          <w:bCs/>
          <w:lang w:val="sk-SK"/>
        </w:rPr>
        <w:t xml:space="preserve">. Ak právna norma viaže právny následok na nejakú nevyhnutnú podmienku, potom dôkaz opaku hovorí, že ak daná podmienka nenastala, nemôže nastať ani právny následok. </w:t>
      </w:r>
      <w:r w:rsidRPr="00BC2A88">
        <w:rPr>
          <w:rFonts w:cs="Calibri"/>
          <w:bCs/>
          <w:lang w:val="sk-SK"/>
        </w:rPr>
        <w:t xml:space="preserve">Ak napríklad právna norma hovorí, že policajt je povinný vykonať služobný zákrok na ochranu zákonom chránených práv a záujmov iba v prípade, ak vykonaním zákroku neohrozí vlastný život, </w:t>
      </w:r>
      <w:r w:rsidRPr="00BC2A88">
        <w:rPr>
          <w:rFonts w:cs="Calibri"/>
          <w:bCs/>
          <w:i/>
          <w:lang w:val="sk-SK"/>
        </w:rPr>
        <w:t>a </w:t>
      </w:r>
      <w:proofErr w:type="spellStart"/>
      <w:r w:rsidRPr="00BC2A88">
        <w:rPr>
          <w:rFonts w:cs="Calibri"/>
          <w:bCs/>
          <w:i/>
          <w:lang w:val="sk-SK"/>
        </w:rPr>
        <w:t>contrario</w:t>
      </w:r>
      <w:proofErr w:type="spellEnd"/>
      <w:r w:rsidRPr="00BC2A88">
        <w:rPr>
          <w:rFonts w:cs="Calibri"/>
          <w:bCs/>
          <w:lang w:val="sk-SK"/>
        </w:rPr>
        <w:t xml:space="preserve"> z toho vyplýva, že v prípade hrozby na živote policajta tento nemá povinnosť zasiahnuť. </w:t>
      </w:r>
      <w:r w:rsidR="004106E0">
        <w:rPr>
          <w:rFonts w:cs="Calibri"/>
          <w:bCs/>
          <w:lang w:val="sk-SK"/>
        </w:rPr>
        <w:t>Tento argument sa používa pri taxatívnych hypotézach.</w:t>
      </w:r>
    </w:p>
    <w:p w:rsidR="00651557" w:rsidRDefault="00005545" w:rsidP="004106E0">
      <w:pPr>
        <w:jc w:val="both"/>
        <w:rPr>
          <w:rFonts w:cs="Calibri"/>
          <w:bCs/>
          <w:lang w:val="sk-SK"/>
        </w:rPr>
      </w:pPr>
      <w:r w:rsidRPr="00BC2A88">
        <w:rPr>
          <w:rFonts w:cs="Calibri"/>
          <w:b/>
          <w:bCs/>
          <w:i/>
          <w:lang w:val="sk-SK"/>
        </w:rPr>
        <w:t>Argument</w:t>
      </w:r>
      <w:r w:rsidRPr="00BC2A88">
        <w:rPr>
          <w:rFonts w:cs="Calibri"/>
          <w:b/>
          <w:bCs/>
          <w:lang w:val="sk-SK"/>
        </w:rPr>
        <w:t xml:space="preserve"> </w:t>
      </w:r>
      <w:r w:rsidRPr="00BC2A88">
        <w:rPr>
          <w:rFonts w:cs="Calibri"/>
          <w:b/>
          <w:bCs/>
          <w:i/>
          <w:lang w:val="sk-SK"/>
        </w:rPr>
        <w:t xml:space="preserve">per </w:t>
      </w:r>
      <w:proofErr w:type="spellStart"/>
      <w:r w:rsidRPr="00BC2A88">
        <w:rPr>
          <w:rFonts w:cs="Calibri"/>
          <w:b/>
          <w:bCs/>
          <w:i/>
          <w:lang w:val="sk-SK"/>
        </w:rPr>
        <w:t>analogiam</w:t>
      </w:r>
      <w:proofErr w:type="spellEnd"/>
      <w:r w:rsidRPr="00BC2A88">
        <w:rPr>
          <w:rFonts w:cs="Calibri"/>
          <w:bCs/>
          <w:lang w:val="sk-SK"/>
        </w:rPr>
        <w:t xml:space="preserve"> znamená vztiahnutie rovnakého pravidla na podobné prípady. </w:t>
      </w:r>
      <w:r w:rsidR="00651557">
        <w:rPr>
          <w:rFonts w:cs="Calibri"/>
          <w:bCs/>
          <w:lang w:val="sk-SK"/>
        </w:rPr>
        <w:t>Napríklad Ústava SR zakazuje diskrimináciu z dôvodu „</w:t>
      </w:r>
      <w:r w:rsidR="00651557" w:rsidRPr="00301679">
        <w:rPr>
          <w:rFonts w:cs="Calibri"/>
          <w:bCs/>
          <w:i/>
          <w:lang w:val="sk-SK"/>
        </w:rPr>
        <w:t>pohlavia, rasy, farby pleti, jazyka, viery a náboženstva, politického či iného zmýšľania, národného alebo sociálneho pôvodu, príslušnosti k národnosti alebo etnickej skupine, majetku, rodu alebo iného postavenia</w:t>
      </w:r>
      <w:r w:rsidR="00651557">
        <w:rPr>
          <w:rFonts w:cs="Calibri"/>
          <w:bCs/>
          <w:lang w:val="sk-SK"/>
        </w:rPr>
        <w:t xml:space="preserve">“. Je zakázaná aj diskriminácia z dôvodu filozofického zmýšľania? </w:t>
      </w:r>
      <w:r w:rsidR="00301679">
        <w:rPr>
          <w:rFonts w:cs="Calibri"/>
          <w:bCs/>
          <w:lang w:val="sk-SK"/>
        </w:rPr>
        <w:t xml:space="preserve">Uplatnením analógie prídeme ku kladnej odpovedi. </w:t>
      </w:r>
      <w:r w:rsidR="00301679" w:rsidRPr="00301679">
        <w:rPr>
          <w:rFonts w:cs="Calibri"/>
          <w:bCs/>
          <w:i/>
          <w:lang w:val="sk-SK"/>
        </w:rPr>
        <w:t xml:space="preserve">Argument per </w:t>
      </w:r>
      <w:proofErr w:type="spellStart"/>
      <w:r w:rsidR="00301679" w:rsidRPr="00301679">
        <w:rPr>
          <w:rFonts w:cs="Calibri"/>
          <w:bCs/>
          <w:i/>
          <w:lang w:val="sk-SK"/>
        </w:rPr>
        <w:t>analogiam</w:t>
      </w:r>
      <w:proofErr w:type="spellEnd"/>
      <w:r w:rsidR="00301679">
        <w:rPr>
          <w:rFonts w:cs="Calibri"/>
          <w:bCs/>
          <w:lang w:val="sk-SK"/>
        </w:rPr>
        <w:t xml:space="preserve"> použijeme namiesto </w:t>
      </w:r>
      <w:r w:rsidR="00301679" w:rsidRPr="00301679">
        <w:rPr>
          <w:rFonts w:cs="Calibri"/>
          <w:bCs/>
          <w:i/>
          <w:lang w:val="sk-SK"/>
        </w:rPr>
        <w:t>argumentu a </w:t>
      </w:r>
      <w:proofErr w:type="spellStart"/>
      <w:r w:rsidR="00301679" w:rsidRPr="00301679">
        <w:rPr>
          <w:rFonts w:cs="Calibri"/>
          <w:bCs/>
          <w:i/>
          <w:lang w:val="sk-SK"/>
        </w:rPr>
        <w:t>contrario</w:t>
      </w:r>
      <w:proofErr w:type="spellEnd"/>
      <w:r w:rsidR="00301679">
        <w:rPr>
          <w:rFonts w:cs="Calibri"/>
          <w:bCs/>
          <w:lang w:val="sk-SK"/>
        </w:rPr>
        <w:t>, pretože uvedený výpočet diskriminačných dôvodov je demonštratívny, čo znamená, že ho možno dopĺňať o podobné prvky. Zastávanie filozofického svetonázoru pritom vykazuje podobné znaky ako zastávania náboženstva či politického zmýšľania</w:t>
      </w:r>
    </w:p>
    <w:p w:rsidR="004106E0" w:rsidRDefault="004106E0" w:rsidP="00BC2A88">
      <w:pPr>
        <w:spacing w:after="120"/>
        <w:jc w:val="both"/>
        <w:rPr>
          <w:rFonts w:cs="Calibri"/>
          <w:lang w:val="sk-SK"/>
        </w:rPr>
      </w:pPr>
      <w:r>
        <w:rPr>
          <w:rFonts w:cs="Calibri"/>
          <w:b/>
          <w:i/>
          <w:lang w:val="sk-SK"/>
        </w:rPr>
        <w:t>A</w:t>
      </w:r>
      <w:r w:rsidR="00005545" w:rsidRPr="00BC2A88">
        <w:rPr>
          <w:rFonts w:cs="Calibri"/>
          <w:b/>
          <w:i/>
          <w:lang w:val="sk-SK"/>
        </w:rPr>
        <w:t>rgument a fortiori</w:t>
      </w:r>
      <w:r w:rsidR="00005545" w:rsidRPr="00BC2A88">
        <w:rPr>
          <w:rFonts w:cs="Calibri"/>
          <w:lang w:val="sk-SK"/>
        </w:rPr>
        <w:t xml:space="preserve"> („o to v</w:t>
      </w:r>
      <w:r>
        <w:rPr>
          <w:rFonts w:cs="Calibri"/>
          <w:lang w:val="sk-SK"/>
        </w:rPr>
        <w:t xml:space="preserve">iac“, „zo silnejšieho dôvodu“) má dve základné podoby: </w:t>
      </w:r>
    </w:p>
    <w:p w:rsidR="004106E0" w:rsidRDefault="004106E0" w:rsidP="00BC2A88">
      <w:pPr>
        <w:spacing w:after="120"/>
        <w:jc w:val="both"/>
        <w:rPr>
          <w:rFonts w:cs="Calibri"/>
          <w:lang w:val="sk-SK"/>
        </w:rPr>
      </w:pPr>
      <w:r>
        <w:rPr>
          <w:rFonts w:cs="Calibri"/>
          <w:b/>
          <w:i/>
          <w:lang w:val="sk-SK"/>
        </w:rPr>
        <w:t>A</w:t>
      </w:r>
      <w:r w:rsidR="00005545" w:rsidRPr="00BC2A88">
        <w:rPr>
          <w:rFonts w:cs="Calibri"/>
          <w:b/>
          <w:i/>
          <w:lang w:val="sk-SK"/>
        </w:rPr>
        <w:t>rgument a </w:t>
      </w:r>
      <w:proofErr w:type="spellStart"/>
      <w:r w:rsidR="00005545" w:rsidRPr="00BC2A88">
        <w:rPr>
          <w:rFonts w:cs="Calibri"/>
          <w:b/>
          <w:i/>
          <w:lang w:val="sk-SK"/>
        </w:rPr>
        <w:t>minori</w:t>
      </w:r>
      <w:proofErr w:type="spellEnd"/>
      <w:r w:rsidR="00005545" w:rsidRPr="00BC2A88">
        <w:rPr>
          <w:rFonts w:cs="Calibri"/>
          <w:b/>
          <w:i/>
          <w:lang w:val="sk-SK"/>
        </w:rPr>
        <w:t xml:space="preserve"> ad </w:t>
      </w:r>
      <w:proofErr w:type="spellStart"/>
      <w:r w:rsidR="00005545" w:rsidRPr="00BC2A88">
        <w:rPr>
          <w:rFonts w:cs="Calibri"/>
          <w:b/>
          <w:i/>
          <w:lang w:val="sk-SK"/>
        </w:rPr>
        <w:t>maius</w:t>
      </w:r>
      <w:proofErr w:type="spellEnd"/>
      <w:r w:rsidR="00005545" w:rsidRPr="00BC2A88">
        <w:rPr>
          <w:rFonts w:cs="Calibri"/>
          <w:lang w:val="sk-SK"/>
        </w:rPr>
        <w:t xml:space="preserve">, od menšieho k väčšiemu. </w:t>
      </w:r>
      <w:r>
        <w:rPr>
          <w:rFonts w:cs="Calibri"/>
          <w:lang w:val="sk-SK"/>
        </w:rPr>
        <w:t xml:space="preserve">Tento argument má dve verzie: </w:t>
      </w:r>
      <w:r w:rsidRPr="004106E0">
        <w:rPr>
          <w:rFonts w:cs="Calibri"/>
          <w:b/>
          <w:lang w:val="sk-SK"/>
        </w:rPr>
        <w:t>i)</w:t>
      </w:r>
      <w:r w:rsidRPr="004106E0">
        <w:rPr>
          <w:rFonts w:cs="Calibri"/>
          <w:lang w:val="sk-SK"/>
        </w:rPr>
        <w:t xml:space="preserve"> </w:t>
      </w:r>
      <w:r w:rsidRPr="004106E0">
        <w:rPr>
          <w:rFonts w:cs="Calibri"/>
          <w:bCs/>
          <w:i/>
          <w:lang w:val="sk-SK"/>
        </w:rPr>
        <w:t>ak je uložená určitá povinnosť subjektu s menšou mierou zodpoved</w:t>
      </w:r>
      <w:bookmarkStart w:id="0" w:name="_GoBack"/>
      <w:bookmarkEnd w:id="0"/>
      <w:r w:rsidRPr="004106E0">
        <w:rPr>
          <w:rFonts w:cs="Calibri"/>
          <w:bCs/>
          <w:i/>
          <w:lang w:val="sk-SK"/>
        </w:rPr>
        <w:t>nosti, o to viac musí byť uložená daná povinnosť subjektu s väčšou mierou zodpovednosti</w:t>
      </w:r>
      <w:r w:rsidRPr="004106E0">
        <w:rPr>
          <w:rFonts w:cs="Calibri"/>
          <w:bCs/>
          <w:lang w:val="sk-SK"/>
        </w:rPr>
        <w:t xml:space="preserve">, napr. ak </w:t>
      </w:r>
      <w:r w:rsidR="002B3CBB">
        <w:rPr>
          <w:rFonts w:cs="Calibri"/>
          <w:bCs/>
          <w:lang w:val="sk-SK"/>
        </w:rPr>
        <w:t>musia obchodné zmluvy zverejňovať orgány obce, o to viac ich musia zverejňovať orgány štátu</w:t>
      </w:r>
      <w:r w:rsidRPr="004106E0">
        <w:rPr>
          <w:rFonts w:cs="Calibri"/>
          <w:bCs/>
          <w:lang w:val="sk-SK"/>
        </w:rPr>
        <w:t xml:space="preserve">. </w:t>
      </w:r>
      <w:proofErr w:type="spellStart"/>
      <w:r w:rsidRPr="004106E0">
        <w:rPr>
          <w:rFonts w:cs="Calibri"/>
          <w:b/>
          <w:bCs/>
          <w:lang w:val="sk-SK"/>
        </w:rPr>
        <w:t>ii</w:t>
      </w:r>
      <w:proofErr w:type="spellEnd"/>
      <w:r w:rsidRPr="004106E0">
        <w:rPr>
          <w:rFonts w:cs="Calibri"/>
          <w:b/>
          <w:bCs/>
          <w:lang w:val="sk-SK"/>
        </w:rPr>
        <w:t>)</w:t>
      </w:r>
      <w:r w:rsidRPr="004106E0">
        <w:rPr>
          <w:rFonts w:cs="Calibri"/>
          <w:bCs/>
          <w:lang w:val="sk-SK"/>
        </w:rPr>
        <w:t xml:space="preserve"> </w:t>
      </w:r>
      <w:r w:rsidRPr="004106E0">
        <w:rPr>
          <w:rFonts w:cs="Calibri"/>
          <w:bCs/>
          <w:i/>
          <w:lang w:val="sk-SK"/>
        </w:rPr>
        <w:t>ak je zakázané konanie s menej vážnymi spoločenskými dopadmi, o to viac musí byť zakázané aj také konanie rovnakého druhu, ktoré má vážnejšie spoločenské dopady</w:t>
      </w:r>
      <w:r w:rsidRPr="004106E0">
        <w:rPr>
          <w:rFonts w:cs="Calibri"/>
          <w:bCs/>
          <w:lang w:val="sk-SK"/>
        </w:rPr>
        <w:t>. Napríklad</w:t>
      </w:r>
      <w:r w:rsidRPr="00BC2A88">
        <w:rPr>
          <w:rFonts w:cs="Calibri"/>
          <w:bCs/>
          <w:lang w:val="sk-SK"/>
        </w:rPr>
        <w:t xml:space="preserve"> ak je zakázané vstúpiť na kultúrne podujatie s bodnými zbraňami, o to viac to bude zakázané so zbraňami strelnými.</w:t>
      </w:r>
    </w:p>
    <w:p w:rsidR="00005545" w:rsidRPr="00BC2A88" w:rsidRDefault="004106E0" w:rsidP="00BC2A88">
      <w:pPr>
        <w:spacing w:after="120"/>
        <w:jc w:val="both"/>
        <w:rPr>
          <w:rFonts w:cs="Calibri"/>
          <w:bCs/>
          <w:lang w:val="sk-SK"/>
        </w:rPr>
      </w:pPr>
      <w:r>
        <w:rPr>
          <w:rFonts w:cs="Calibri"/>
          <w:b/>
          <w:bCs/>
          <w:i/>
          <w:lang w:val="sk-SK"/>
        </w:rPr>
        <w:t>A</w:t>
      </w:r>
      <w:r w:rsidR="00005545" w:rsidRPr="00BC2A88">
        <w:rPr>
          <w:rFonts w:cs="Calibri"/>
          <w:b/>
          <w:bCs/>
          <w:i/>
          <w:lang w:val="sk-SK"/>
        </w:rPr>
        <w:t>rgument a </w:t>
      </w:r>
      <w:proofErr w:type="spellStart"/>
      <w:r w:rsidR="00005545" w:rsidRPr="00BC2A88">
        <w:rPr>
          <w:rFonts w:cs="Calibri"/>
          <w:b/>
          <w:bCs/>
          <w:i/>
          <w:lang w:val="sk-SK"/>
        </w:rPr>
        <w:t>maiori</w:t>
      </w:r>
      <w:proofErr w:type="spellEnd"/>
      <w:r w:rsidR="00005545" w:rsidRPr="00BC2A88">
        <w:rPr>
          <w:rFonts w:cs="Calibri"/>
          <w:b/>
          <w:bCs/>
          <w:i/>
          <w:lang w:val="sk-SK"/>
        </w:rPr>
        <w:t xml:space="preserve"> ad </w:t>
      </w:r>
      <w:proofErr w:type="spellStart"/>
      <w:r w:rsidR="00005545" w:rsidRPr="00BC2A88">
        <w:rPr>
          <w:rFonts w:cs="Calibri"/>
          <w:b/>
          <w:bCs/>
          <w:i/>
          <w:lang w:val="sk-SK"/>
        </w:rPr>
        <w:t>minus</w:t>
      </w:r>
      <w:proofErr w:type="spellEnd"/>
      <w:r w:rsidR="00005545" w:rsidRPr="00BC2A88">
        <w:rPr>
          <w:rFonts w:cs="Calibri"/>
          <w:bCs/>
          <w:lang w:val="sk-SK"/>
        </w:rPr>
        <w:t xml:space="preserve">, od väčšieho k menšiemu. </w:t>
      </w:r>
      <w:r>
        <w:rPr>
          <w:rFonts w:cs="Calibri"/>
          <w:bCs/>
          <w:lang w:val="sk-SK"/>
        </w:rPr>
        <w:t>Tento argument má dve verzie</w:t>
      </w:r>
      <w:r w:rsidR="00D406CA">
        <w:rPr>
          <w:rFonts w:cs="Calibri"/>
          <w:bCs/>
          <w:lang w:val="sk-SK"/>
        </w:rPr>
        <w:t xml:space="preserve">: </w:t>
      </w:r>
      <w:r w:rsidR="00D406CA" w:rsidRPr="00D406CA">
        <w:rPr>
          <w:rFonts w:cs="Calibri"/>
          <w:b/>
          <w:bCs/>
          <w:lang w:val="sk-SK"/>
        </w:rPr>
        <w:t>i)</w:t>
      </w:r>
      <w:r w:rsidR="00005545" w:rsidRPr="00BC2A88">
        <w:rPr>
          <w:rFonts w:cs="Calibri"/>
          <w:bCs/>
          <w:lang w:val="sk-SK"/>
        </w:rPr>
        <w:t xml:space="preserve"> </w:t>
      </w:r>
      <w:r w:rsidR="00005545" w:rsidRPr="00D406CA">
        <w:rPr>
          <w:rFonts w:cs="Calibri"/>
          <w:bCs/>
          <w:i/>
          <w:lang w:val="sk-SK"/>
        </w:rPr>
        <w:t>ak určité obmedzenie platí pre subjekt s lepším normatívnym postavením, o to viac musí platiť aj pre subjekt s horším normatívnym postavením</w:t>
      </w:r>
      <w:r w:rsidR="00D406CA" w:rsidRPr="00D406CA">
        <w:rPr>
          <w:rFonts w:cs="Calibri"/>
          <w:bCs/>
          <w:lang w:val="sk-SK"/>
        </w:rPr>
        <w:t xml:space="preserve">, napr. ak v čase vojnového stavu možno obmedziť vecné práva vlastníka veci, o to viac možno obmedziť vecné práva nájomcu. </w:t>
      </w:r>
      <w:proofErr w:type="spellStart"/>
      <w:r w:rsidR="00D406CA" w:rsidRPr="00D406CA">
        <w:rPr>
          <w:rFonts w:cs="Calibri"/>
          <w:b/>
          <w:bCs/>
          <w:lang w:val="sk-SK"/>
        </w:rPr>
        <w:t>ii</w:t>
      </w:r>
      <w:proofErr w:type="spellEnd"/>
      <w:r w:rsidR="00D406CA" w:rsidRPr="00D406CA">
        <w:rPr>
          <w:rFonts w:cs="Calibri"/>
          <w:b/>
          <w:bCs/>
          <w:lang w:val="sk-SK"/>
        </w:rPr>
        <w:t>)</w:t>
      </w:r>
      <w:r w:rsidR="00005545" w:rsidRPr="00D406CA">
        <w:rPr>
          <w:rFonts w:cs="Calibri"/>
          <w:bCs/>
          <w:lang w:val="sk-SK"/>
        </w:rPr>
        <w:t xml:space="preserve"> </w:t>
      </w:r>
      <w:r w:rsidR="00005545" w:rsidRPr="00D406CA">
        <w:rPr>
          <w:rFonts w:cs="Calibri"/>
          <w:bCs/>
          <w:i/>
          <w:lang w:val="sk-SK"/>
        </w:rPr>
        <w:t>ak je dovolené konanie so závažnejšími spoločenskými dopadmi, o to viac musí byť dovolené aj menej závažné konanie rovnakého druhu</w:t>
      </w:r>
      <w:r w:rsidR="00D406CA" w:rsidRPr="00D406CA">
        <w:rPr>
          <w:rFonts w:cs="Calibri"/>
          <w:bCs/>
          <w:lang w:val="sk-SK"/>
        </w:rPr>
        <w:t>,</w:t>
      </w:r>
      <w:r w:rsidR="00D406CA">
        <w:rPr>
          <w:rFonts w:cs="Calibri"/>
          <w:bCs/>
          <w:lang w:val="sk-SK"/>
        </w:rPr>
        <w:t xml:space="preserve"> napr. a</w:t>
      </w:r>
      <w:r w:rsidR="00005545" w:rsidRPr="00BC2A88">
        <w:rPr>
          <w:rFonts w:cs="Calibri"/>
          <w:bCs/>
          <w:lang w:val="sk-SK"/>
        </w:rPr>
        <w:t xml:space="preserve">k je dovolené vyhotoviť si z podujatia videozáznam, o to viac to musí platiť aj pre audiozáznam. </w:t>
      </w:r>
    </w:p>
    <w:p w:rsidR="00D406CA" w:rsidRDefault="00D406CA" w:rsidP="00D406CA">
      <w:pPr>
        <w:jc w:val="both"/>
        <w:rPr>
          <w:rFonts w:cs="Calibri"/>
          <w:bCs/>
          <w:lang w:val="sk-SK"/>
        </w:rPr>
      </w:pPr>
      <w:r>
        <w:rPr>
          <w:rFonts w:cs="Calibri"/>
          <w:bCs/>
          <w:lang w:val="sk-SK"/>
        </w:rPr>
        <w:t xml:space="preserve">Ďalším logickým argumentom je smernica logického výkladu, podľa ktorej </w:t>
      </w:r>
      <w:r w:rsidRPr="00D406CA">
        <w:rPr>
          <w:rFonts w:cs="Calibri"/>
          <w:b/>
          <w:bCs/>
          <w:i/>
          <w:lang w:val="sk-SK"/>
        </w:rPr>
        <w:t>subjekt práva je povinný</w:t>
      </w:r>
      <w:r w:rsidR="00005545" w:rsidRPr="00BC2A88">
        <w:rPr>
          <w:rFonts w:cs="Calibri"/>
          <w:b/>
          <w:bCs/>
          <w:i/>
          <w:lang w:val="sk-SK"/>
        </w:rPr>
        <w:t xml:space="preserve"> rozlišovať, ak rozlišuje aj zákonodarca</w:t>
      </w:r>
      <w:r w:rsidR="00005545" w:rsidRPr="00BC2A88">
        <w:rPr>
          <w:rFonts w:cs="Calibri"/>
          <w:bCs/>
          <w:lang w:val="sk-SK"/>
        </w:rPr>
        <w:t xml:space="preserve">. Týka sa to najmä rozlišovania medzi pojmami na základe ich jazykového vyjadrenia. </w:t>
      </w:r>
      <w:r>
        <w:rPr>
          <w:rFonts w:cs="Calibri"/>
          <w:bCs/>
          <w:lang w:val="sk-SK"/>
        </w:rPr>
        <w:t>P</w:t>
      </w:r>
      <w:r w:rsidR="00005545" w:rsidRPr="00BC2A88">
        <w:rPr>
          <w:rFonts w:cs="Calibri"/>
          <w:bCs/>
          <w:lang w:val="sk-SK"/>
        </w:rPr>
        <w:t xml:space="preserve">ríklad: </w:t>
      </w:r>
      <w:r>
        <w:rPr>
          <w:rFonts w:cs="Calibri"/>
          <w:bCs/>
          <w:lang w:val="sk-SK"/>
        </w:rPr>
        <w:t xml:space="preserve">ak ústava v čl. 101 ods. 4 rozlišuje medzi „oprávnenými voličmi“ a „zúčastnenými voličmi“, potom výraz „nadpolovičná väčšina platných hlasov oprávnených voličov“ treba vykladať tak, že ide o väčšinu hlasov z množiny všetkých voličov, nielen z množiny tých voličov, ktorí sa zúčastnili volieb. </w:t>
      </w:r>
    </w:p>
    <w:p w:rsidR="00005545" w:rsidRPr="00BC2A88" w:rsidRDefault="00005545" w:rsidP="00BC2A88">
      <w:pPr>
        <w:spacing w:after="120"/>
        <w:jc w:val="both"/>
        <w:rPr>
          <w:rFonts w:cs="Calibri"/>
          <w:lang w:val="sk-SK"/>
        </w:rPr>
      </w:pPr>
      <w:r w:rsidRPr="00BC2A88">
        <w:rPr>
          <w:rFonts w:cs="Calibri"/>
          <w:b/>
          <w:bCs/>
          <w:i/>
          <w:lang w:val="sk-SK"/>
        </w:rPr>
        <w:t>Historický výklad</w:t>
      </w:r>
      <w:r w:rsidRPr="00BC2A88">
        <w:rPr>
          <w:rFonts w:cs="Calibri"/>
          <w:bCs/>
          <w:lang w:val="sk-SK"/>
        </w:rPr>
        <w:t xml:space="preserve"> vychádza zo základnej premisy, že význam právneho textu možno objasniť aj pomocou historických okolností jeho vzniku. </w:t>
      </w:r>
      <w:r w:rsidRPr="00BC2A88">
        <w:rPr>
          <w:rFonts w:cs="Calibri"/>
          <w:lang w:val="sk-SK"/>
        </w:rPr>
        <w:t xml:space="preserve">Pri historickom výklade skúmame predovšetkým rozdiely v porovnaní s predchádzajúcimi úpravami a motívy, ktoré k danej zmene viedli, prípadne rovnako tak aj podobnosti medzi súčasnou a bývalými úpravami. Typickým príkladom historického výkladu je aj posudzovanie procesu vzniku právnej normy, čiže to, ako sa jej obsah menil v jednotlivých fázach legislatívneho procesu. Nástrojmi tejto verzie historického výkladu sú záznamy z parlamentnej rozpravy, z priebehu pripomienkového konania či dôvodová správa. </w:t>
      </w:r>
      <w:r w:rsidR="00347F1C">
        <w:rPr>
          <w:rFonts w:cs="Calibri"/>
          <w:lang w:val="sk-SK"/>
        </w:rPr>
        <w:t>Historický výklad sa používa iba subsidiárne, t. j. na podporu záverov, ku ktorým sme sa dostali pomocou inej výkladovej metódy.</w:t>
      </w:r>
    </w:p>
    <w:p w:rsidR="002B3CBB" w:rsidRDefault="002B3CBB">
      <w:pPr>
        <w:rPr>
          <w:rFonts w:cs="Calibri"/>
          <w:b/>
          <w:i/>
          <w:lang w:val="sk-SK"/>
        </w:rPr>
      </w:pPr>
      <w:r>
        <w:rPr>
          <w:rFonts w:cs="Calibri"/>
          <w:b/>
          <w:i/>
          <w:lang w:val="sk-SK"/>
        </w:rPr>
        <w:br w:type="page"/>
      </w:r>
    </w:p>
    <w:p w:rsidR="00D406CA" w:rsidRDefault="00005545" w:rsidP="00D406CA">
      <w:pPr>
        <w:jc w:val="both"/>
        <w:rPr>
          <w:rFonts w:cs="Calibri"/>
          <w:lang w:val="sk-SK"/>
        </w:rPr>
      </w:pPr>
      <w:r w:rsidRPr="00BC2A88">
        <w:rPr>
          <w:rFonts w:cs="Calibri"/>
          <w:b/>
          <w:i/>
          <w:lang w:val="sk-SK"/>
        </w:rPr>
        <w:lastRenderedPageBreak/>
        <w:t>Teleologický výklad</w:t>
      </w:r>
      <w:r w:rsidRPr="00BC2A88">
        <w:rPr>
          <w:rFonts w:cs="Calibri"/>
          <w:lang w:val="sk-SK"/>
        </w:rPr>
        <w:t xml:space="preserve"> alebo tiež výklad </w:t>
      </w:r>
      <w:r w:rsidRPr="00BC2A88">
        <w:rPr>
          <w:rFonts w:cs="Calibri"/>
          <w:b/>
          <w:i/>
          <w:lang w:val="sk-SK"/>
        </w:rPr>
        <w:t xml:space="preserve">e </w:t>
      </w:r>
      <w:proofErr w:type="spellStart"/>
      <w:r w:rsidRPr="00BC2A88">
        <w:rPr>
          <w:rFonts w:cs="Calibri"/>
          <w:b/>
          <w:i/>
          <w:lang w:val="sk-SK"/>
        </w:rPr>
        <w:t>ratione</w:t>
      </w:r>
      <w:proofErr w:type="spellEnd"/>
      <w:r w:rsidRPr="00BC2A88">
        <w:rPr>
          <w:rFonts w:cs="Calibri"/>
          <w:b/>
          <w:i/>
          <w:lang w:val="sk-SK"/>
        </w:rPr>
        <w:t xml:space="preserve"> </w:t>
      </w:r>
      <w:proofErr w:type="spellStart"/>
      <w:r w:rsidRPr="00BC2A88">
        <w:rPr>
          <w:rFonts w:cs="Calibri"/>
          <w:b/>
          <w:i/>
          <w:lang w:val="sk-SK"/>
        </w:rPr>
        <w:t>legis</w:t>
      </w:r>
      <w:proofErr w:type="spellEnd"/>
      <w:r w:rsidRPr="00BC2A88">
        <w:rPr>
          <w:rFonts w:cs="Calibri"/>
          <w:lang w:val="sk-SK"/>
        </w:rPr>
        <w:t xml:space="preserve"> je výkladom podľa účelu, ktorý právna norma sleduje. </w:t>
      </w:r>
      <w:r w:rsidR="00D406CA">
        <w:rPr>
          <w:rFonts w:cs="Calibri"/>
          <w:lang w:val="sk-SK"/>
        </w:rPr>
        <w:t>P</w:t>
      </w:r>
      <w:r w:rsidR="00D406CA" w:rsidRPr="00BC2A88">
        <w:rPr>
          <w:rFonts w:cs="Calibri"/>
          <w:lang w:val="sk-SK"/>
        </w:rPr>
        <w:t xml:space="preserve">ri teleologickom výklade hľadáme </w:t>
      </w:r>
      <w:r w:rsidR="00D406CA" w:rsidRPr="00D406CA">
        <w:rPr>
          <w:rFonts w:cs="Calibri"/>
          <w:i/>
          <w:lang w:val="sk-SK"/>
        </w:rPr>
        <w:t>objektívny účel</w:t>
      </w:r>
      <w:r w:rsidR="00D406CA" w:rsidRPr="00BC2A88">
        <w:rPr>
          <w:rFonts w:cs="Calibri"/>
          <w:lang w:val="sk-SK"/>
        </w:rPr>
        <w:t xml:space="preserve">, ktorý je konštruovaný len na základe textu a systematiky predpisu. Ide teda o účel, ktorého dosiahnutie sleduje pomyslený racionálny zákonodarca a ktorý dokáže identifikovať každý priemerný adresát predpisu. Naopak pri historickom výklade hľadáme </w:t>
      </w:r>
      <w:r w:rsidR="00D406CA" w:rsidRPr="00D406CA">
        <w:rPr>
          <w:rFonts w:cs="Calibri"/>
          <w:i/>
          <w:lang w:val="sk-SK"/>
        </w:rPr>
        <w:t>subjektívny úmysel</w:t>
      </w:r>
      <w:r w:rsidR="00D406CA" w:rsidRPr="00BC2A88">
        <w:rPr>
          <w:rFonts w:cs="Calibri"/>
          <w:lang w:val="sk-SK"/>
        </w:rPr>
        <w:t xml:space="preserve"> zisťovaný podľa skutočnej vôle konkrétnych ľudí, ktorí vykladaný predpis tvorili</w:t>
      </w:r>
      <w:r w:rsidR="00D406CA">
        <w:rPr>
          <w:rFonts w:cs="Calibri"/>
          <w:lang w:val="sk-SK"/>
        </w:rPr>
        <w:t xml:space="preserve">. Teleologický výklad sa používa ako korekcia ku gramatickému výkladu, problém však spočíva v tom, že ak je normatívna právna veta príliš vágna, nedá sa s istotou </w:t>
      </w:r>
      <w:r w:rsidR="00347F1C">
        <w:rPr>
          <w:rFonts w:cs="Calibri"/>
          <w:lang w:val="sk-SK"/>
        </w:rPr>
        <w:t>určiť, aký</w:t>
      </w:r>
      <w:r w:rsidR="00D406CA">
        <w:rPr>
          <w:rFonts w:cs="Calibri"/>
          <w:lang w:val="sk-SK"/>
        </w:rPr>
        <w:t xml:space="preserve"> má objektívny účel</w:t>
      </w:r>
      <w:r w:rsidR="00347F1C">
        <w:rPr>
          <w:rFonts w:cs="Calibri"/>
          <w:lang w:val="sk-SK"/>
        </w:rPr>
        <w:t xml:space="preserve">, resp. ktorý z jej potenciálnych účelov máme uprednostniť. </w:t>
      </w:r>
    </w:p>
    <w:p w:rsidR="00B0341C" w:rsidRPr="00B0341C" w:rsidRDefault="00B0341C" w:rsidP="00B0341C">
      <w:pPr>
        <w:jc w:val="both"/>
        <w:rPr>
          <w:rFonts w:cs="Calibri"/>
          <w:lang w:val="sk-SK"/>
        </w:rPr>
      </w:pPr>
      <w:r w:rsidRPr="00B0341C">
        <w:rPr>
          <w:rFonts w:cs="Calibri"/>
          <w:lang w:val="sk-SK"/>
        </w:rPr>
        <w:t xml:space="preserve">Za podmnožinu teleologickej metódy môžeme považovať tzv. </w:t>
      </w:r>
      <w:proofErr w:type="spellStart"/>
      <w:r w:rsidRPr="00B0341C">
        <w:rPr>
          <w:rFonts w:cs="Calibri"/>
          <w:b/>
          <w:i/>
          <w:lang w:val="sk-SK"/>
        </w:rPr>
        <w:t>axiologický</w:t>
      </w:r>
      <w:proofErr w:type="spellEnd"/>
      <w:r w:rsidRPr="00B0341C">
        <w:rPr>
          <w:rFonts w:cs="Calibri"/>
          <w:b/>
          <w:i/>
          <w:lang w:val="sk-SK"/>
        </w:rPr>
        <w:t xml:space="preserve"> výklad</w:t>
      </w:r>
      <w:r w:rsidRPr="00B0341C">
        <w:rPr>
          <w:rFonts w:cs="Calibri"/>
          <w:lang w:val="sk-SK"/>
        </w:rPr>
        <w:t xml:space="preserve">, čiže výklad, ktorý obsah právnej normy alebo právneho predpisu posudzuje cez prizmu hodnôt, ktoré tento predpis má chrániť. Pri </w:t>
      </w:r>
      <w:proofErr w:type="spellStart"/>
      <w:r w:rsidRPr="00B0341C">
        <w:rPr>
          <w:rFonts w:cs="Calibri"/>
          <w:lang w:val="sk-SK"/>
        </w:rPr>
        <w:t>axiologickom</w:t>
      </w:r>
      <w:proofErr w:type="spellEnd"/>
      <w:r w:rsidRPr="00B0341C">
        <w:rPr>
          <w:rFonts w:cs="Calibri"/>
          <w:lang w:val="sk-SK"/>
        </w:rPr>
        <w:t xml:space="preserve"> výklade prestávame predmetnú normu chápať v jej logickej štruktúre p → q, odhliadame od predpokladaného právneho následku a sústreďujeme sa na hodnotu, ktorú má daná norma chrániť a rozvíjať. Pointou axiologického výkladu je uprednostnenie hodnoty pred normou </w:t>
      </w:r>
      <w:r w:rsidR="00301679">
        <w:rPr>
          <w:rFonts w:cs="Calibri"/>
          <w:lang w:val="sk-SK"/>
        </w:rPr>
        <w:t>samou</w:t>
      </w:r>
      <w:r w:rsidRPr="00B0341C">
        <w:rPr>
          <w:rFonts w:cs="Calibri"/>
          <w:lang w:val="sk-SK"/>
        </w:rPr>
        <w:t>, v istom zjednodušení napríklad uprednostnenie etickej spravodlivosti pred tou legálnou.</w:t>
      </w:r>
    </w:p>
    <w:p w:rsidR="00B0341C" w:rsidRDefault="00347F1C" w:rsidP="00347F1C">
      <w:pPr>
        <w:jc w:val="both"/>
        <w:rPr>
          <w:rFonts w:cs="Calibri"/>
          <w:bCs/>
          <w:lang w:val="sk-SK"/>
        </w:rPr>
      </w:pPr>
      <w:r w:rsidRPr="00B0341C">
        <w:rPr>
          <w:rFonts w:cs="Calibri"/>
          <w:b/>
          <w:i/>
          <w:lang w:val="sk-SK"/>
        </w:rPr>
        <w:t>P</w:t>
      </w:r>
      <w:r w:rsidR="00005545" w:rsidRPr="00B0341C">
        <w:rPr>
          <w:rFonts w:cs="Calibri"/>
          <w:b/>
          <w:i/>
          <w:lang w:val="sk-SK"/>
        </w:rPr>
        <w:t>orovnávací výklad</w:t>
      </w:r>
      <w:r w:rsidRPr="00B0341C">
        <w:rPr>
          <w:rFonts w:cs="Calibri"/>
          <w:lang w:val="sk-SK"/>
        </w:rPr>
        <w:t xml:space="preserve"> </w:t>
      </w:r>
      <w:r w:rsidR="00B0341C">
        <w:rPr>
          <w:rFonts w:cs="Calibri"/>
          <w:lang w:val="sk-SK"/>
        </w:rPr>
        <w:t xml:space="preserve">– </w:t>
      </w:r>
      <w:r w:rsidRPr="00B0341C">
        <w:rPr>
          <w:rFonts w:cs="Calibri"/>
          <w:lang w:val="sk-SK"/>
        </w:rPr>
        <w:t>posudzuje</w:t>
      </w:r>
      <w:r w:rsidR="00B0341C">
        <w:rPr>
          <w:rFonts w:cs="Calibri"/>
          <w:lang w:val="sk-SK"/>
        </w:rPr>
        <w:t>me</w:t>
      </w:r>
      <w:r w:rsidRPr="00B0341C">
        <w:rPr>
          <w:rFonts w:cs="Calibri"/>
          <w:lang w:val="sk-SK"/>
        </w:rPr>
        <w:t xml:space="preserve"> právnu úpravu </w:t>
      </w:r>
      <w:r w:rsidR="00005545" w:rsidRPr="00B0341C">
        <w:rPr>
          <w:rFonts w:cs="Calibri"/>
          <w:lang w:val="sk-SK"/>
        </w:rPr>
        <w:t>nejakého inštitútu v perspektíve právnej úpravy rovnakého alebo</w:t>
      </w:r>
      <w:r w:rsidR="00005545" w:rsidRPr="00BC2A88">
        <w:rPr>
          <w:rFonts w:cs="Calibri"/>
          <w:bCs/>
          <w:lang w:val="sk-SK"/>
        </w:rPr>
        <w:t xml:space="preserve"> podobného inštitútu v inej jurisdikcii.</w:t>
      </w:r>
      <w:r>
        <w:rPr>
          <w:rFonts w:cs="Calibri"/>
          <w:bCs/>
          <w:lang w:val="sk-SK"/>
        </w:rPr>
        <w:t xml:space="preserve"> Vhodnou</w:t>
      </w:r>
      <w:r w:rsidR="00005545" w:rsidRPr="00BC2A88">
        <w:rPr>
          <w:rFonts w:cs="Calibri"/>
          <w:bCs/>
          <w:lang w:val="sk-SK"/>
        </w:rPr>
        <w:t xml:space="preserve"> príležitosťou pre uplatnenie komparatívnej metódy je výklad práva so zahraničným, medzinárodným, prípadne európskym rodokmeňom.</w:t>
      </w:r>
      <w:r w:rsidR="00B0341C">
        <w:rPr>
          <w:rFonts w:cs="Calibri"/>
          <w:bCs/>
          <w:lang w:val="sk-SK"/>
        </w:rPr>
        <w:t xml:space="preserve"> </w:t>
      </w:r>
      <w:r>
        <w:rPr>
          <w:rFonts w:cs="Calibri"/>
          <w:bCs/>
          <w:lang w:val="sk-SK"/>
        </w:rPr>
        <w:t>Totiž</w:t>
      </w:r>
      <w:r w:rsidR="00005545" w:rsidRPr="00BC2A88">
        <w:rPr>
          <w:rFonts w:cs="Calibri"/>
          <w:bCs/>
          <w:lang w:val="sk-SK"/>
        </w:rPr>
        <w:t xml:space="preserve"> ak dôjde k</w:t>
      </w:r>
      <w:r>
        <w:rPr>
          <w:rFonts w:cs="Calibri"/>
          <w:bCs/>
          <w:lang w:val="sk-SK"/>
        </w:rPr>
        <w:t xml:space="preserve"> cezhraničnému </w:t>
      </w:r>
      <w:r w:rsidR="00005545" w:rsidRPr="00BC2A88">
        <w:rPr>
          <w:rFonts w:cs="Calibri"/>
          <w:bCs/>
          <w:lang w:val="sk-SK"/>
        </w:rPr>
        <w:t xml:space="preserve">zjednoteniu právnej úpravy, potom je </w:t>
      </w:r>
      <w:r w:rsidR="00B0341C">
        <w:rPr>
          <w:rFonts w:cs="Calibri"/>
          <w:bCs/>
          <w:lang w:val="sk-SK"/>
        </w:rPr>
        <w:t>prípustné</w:t>
      </w:r>
      <w:r w:rsidR="00005545" w:rsidRPr="00BC2A88">
        <w:rPr>
          <w:rFonts w:cs="Calibri"/>
          <w:bCs/>
          <w:lang w:val="sk-SK"/>
        </w:rPr>
        <w:t xml:space="preserve">, aby sa pri jej výklade nechali súdy z jedného štátu inšpirovať judikatúrou súdov z druhého štátu, obzvlášť ak tieto majú s daným výkladom bohatšie skúsenosti. Takýto postup sa používa napríklad, keď ústavný súd posudzuje, či je určitý zákon v súlade s ľudskými právami a základnými slobodami. Keďže dané práva a slobody sú bežne chránené aj rôznymi medzinárodnými dohovormi, ústavný súd sa môže nechať inšpirovať rozhodovacou činnosťou súdov tých štátov, ktoré sú zmluvnou stranou príslušných dokumentov. </w:t>
      </w:r>
      <w:r w:rsidR="00B0341C">
        <w:rPr>
          <w:rFonts w:cs="Calibri"/>
          <w:bCs/>
          <w:lang w:val="sk-SK"/>
        </w:rPr>
        <w:t>P</w:t>
      </w:r>
      <w:r w:rsidR="00005545" w:rsidRPr="00BC2A88">
        <w:rPr>
          <w:rFonts w:cs="Calibri"/>
          <w:bCs/>
          <w:lang w:val="sk-SK"/>
        </w:rPr>
        <w:t>odobne ako historický výklad, aj komparatívny výklad má väčšinou iba podpornú funkciu</w:t>
      </w:r>
      <w:r w:rsidR="00B0341C">
        <w:rPr>
          <w:rFonts w:cs="Calibri"/>
          <w:bCs/>
          <w:lang w:val="sk-SK"/>
        </w:rPr>
        <w:t>.</w:t>
      </w:r>
    </w:p>
    <w:sectPr w:rsidR="00B0341C" w:rsidSect="00EB5E28">
      <w:type w:val="continuous"/>
      <w:pgSz w:w="11906" w:h="16838"/>
      <w:pgMar w:top="851" w:right="991" w:bottom="426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C18" w:rsidRDefault="00393C18" w:rsidP="003648A0">
      <w:pPr>
        <w:spacing w:after="0" w:line="240" w:lineRule="auto"/>
      </w:pPr>
      <w:r>
        <w:separator/>
      </w:r>
    </w:p>
  </w:endnote>
  <w:endnote w:type="continuationSeparator" w:id="0">
    <w:p w:rsidR="00393C18" w:rsidRDefault="00393C18" w:rsidP="00364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3622768"/>
      <w:docPartObj>
        <w:docPartGallery w:val="Page Numbers (Bottom of Page)"/>
        <w:docPartUnique/>
      </w:docPartObj>
    </w:sdtPr>
    <w:sdtEndPr/>
    <w:sdtContent>
      <w:p w:rsidR="00EB5E28" w:rsidRDefault="002B32F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CBB" w:rsidRPr="002B3CBB">
          <w:rPr>
            <w:noProof/>
            <w:lang w:val="sk-SK"/>
          </w:rPr>
          <w:t>4</w:t>
        </w:r>
        <w:r>
          <w:fldChar w:fldCharType="end"/>
        </w:r>
      </w:p>
    </w:sdtContent>
  </w:sdt>
  <w:p w:rsidR="00EB5E28" w:rsidRDefault="00393C18">
    <w:pPr>
      <w:pStyle w:val="Pta"/>
    </w:pPr>
  </w:p>
  <w:p w:rsidR="00EB5E28" w:rsidRDefault="00393C1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C18" w:rsidRDefault="00393C18" w:rsidP="003648A0">
      <w:pPr>
        <w:spacing w:after="0" w:line="240" w:lineRule="auto"/>
      </w:pPr>
      <w:r>
        <w:separator/>
      </w:r>
    </w:p>
  </w:footnote>
  <w:footnote w:type="continuationSeparator" w:id="0">
    <w:p w:rsidR="00393C18" w:rsidRDefault="00393C18" w:rsidP="00364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96AB6"/>
    <w:multiLevelType w:val="multilevel"/>
    <w:tmpl w:val="2972750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26E1BE2"/>
    <w:multiLevelType w:val="hybridMultilevel"/>
    <w:tmpl w:val="F6D86304"/>
    <w:lvl w:ilvl="0" w:tplc="4130242C">
      <w:start w:val="1"/>
      <w:numFmt w:val="bullet"/>
      <w:lvlText w:val="-"/>
      <w:lvlJc w:val="left"/>
      <w:pPr>
        <w:ind w:left="76" w:hanging="360"/>
      </w:pPr>
      <w:rPr>
        <w:rFonts w:ascii="Calibri" w:eastAsiaTheme="minorHAnsi" w:hAnsi="Calibri" w:cs="Calibri" w:hint="default"/>
        <w:b/>
        <w:i/>
      </w:rPr>
    </w:lvl>
    <w:lvl w:ilvl="1" w:tplc="08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>
    <w:nsid w:val="62CA2866"/>
    <w:multiLevelType w:val="hybridMultilevel"/>
    <w:tmpl w:val="6872369A"/>
    <w:lvl w:ilvl="0" w:tplc="DE447F2E">
      <w:start w:val="1"/>
      <w:numFmt w:val="bullet"/>
      <w:lvlText w:val="–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3MzWztDA0NTUwMzBQ0lEKTi0uzszPAykwrQUA8LmrSCwAAAA="/>
  </w:docVars>
  <w:rsids>
    <w:rsidRoot w:val="003648A0"/>
    <w:rsid w:val="00005545"/>
    <w:rsid w:val="000D00AC"/>
    <w:rsid w:val="0016242D"/>
    <w:rsid w:val="002B32F1"/>
    <w:rsid w:val="002B3CBB"/>
    <w:rsid w:val="00301679"/>
    <w:rsid w:val="00347F1C"/>
    <w:rsid w:val="003648A0"/>
    <w:rsid w:val="00393C18"/>
    <w:rsid w:val="0039743C"/>
    <w:rsid w:val="0040384C"/>
    <w:rsid w:val="004106E0"/>
    <w:rsid w:val="00453A38"/>
    <w:rsid w:val="00651557"/>
    <w:rsid w:val="007861DE"/>
    <w:rsid w:val="00A0519B"/>
    <w:rsid w:val="00A419D1"/>
    <w:rsid w:val="00A91DEC"/>
    <w:rsid w:val="00B0341C"/>
    <w:rsid w:val="00BC2A88"/>
    <w:rsid w:val="00C75C66"/>
    <w:rsid w:val="00D406CA"/>
    <w:rsid w:val="00DF7403"/>
    <w:rsid w:val="00FD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48A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3648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648A0"/>
  </w:style>
  <w:style w:type="paragraph" w:styleId="Odsekzoznamu">
    <w:name w:val="List Paragraph"/>
    <w:basedOn w:val="Normlny"/>
    <w:uiPriority w:val="34"/>
    <w:qFormat/>
    <w:rsid w:val="003648A0"/>
    <w:pPr>
      <w:ind w:left="720"/>
      <w:contextualSpacing/>
    </w:pPr>
  </w:style>
  <w:style w:type="paragraph" w:styleId="Textpoznmkypodiarou">
    <w:name w:val="footnote text"/>
    <w:aliases w:val="Text pozn. pod čarou Char Char,Text pozn. pod čarou Char Char Char Char,Text pozn. pod čarou Char Char Char  Char"/>
    <w:basedOn w:val="Normlny"/>
    <w:link w:val="TextpoznmkypodiarouChar"/>
    <w:qFormat/>
    <w:rsid w:val="00364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/>
    </w:rPr>
  </w:style>
  <w:style w:type="character" w:customStyle="1" w:styleId="TextpoznmkypodiarouChar">
    <w:name w:val="Text poznámky pod čiarou Char"/>
    <w:aliases w:val="Text pozn. pod čarou Char Char Char,Text pozn. pod čarou Char Char Char Char Char,Text pozn. pod čarou Char Char Char  Char Char"/>
    <w:basedOn w:val="Predvolenpsmoodseku"/>
    <w:link w:val="Textpoznmkypodiarou"/>
    <w:rsid w:val="003648A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aliases w:val="Ref,de nota al pie"/>
    <w:rsid w:val="003648A0"/>
    <w:rPr>
      <w:vertAlign w:val="superscript"/>
    </w:rPr>
  </w:style>
  <w:style w:type="character" w:styleId="Hypertextovprepojenie">
    <w:name w:val="Hyperlink"/>
    <w:uiPriority w:val="99"/>
    <w:rsid w:val="0000554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A419D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A419D1"/>
    <w:rPr>
      <w:rFonts w:ascii="Times New Roman" w:eastAsia="Times New Roman" w:hAnsi="Times New Roman" w:cs="Times New Roman"/>
      <w:sz w:val="24"/>
      <w:szCs w:val="24"/>
      <w:lang w:val="sk-SK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48A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3648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648A0"/>
  </w:style>
  <w:style w:type="paragraph" w:styleId="Odsekzoznamu">
    <w:name w:val="List Paragraph"/>
    <w:basedOn w:val="Normlny"/>
    <w:uiPriority w:val="34"/>
    <w:qFormat/>
    <w:rsid w:val="003648A0"/>
    <w:pPr>
      <w:ind w:left="720"/>
      <w:contextualSpacing/>
    </w:pPr>
  </w:style>
  <w:style w:type="paragraph" w:styleId="Textpoznmkypodiarou">
    <w:name w:val="footnote text"/>
    <w:aliases w:val="Text pozn. pod čarou Char Char,Text pozn. pod čarou Char Char Char Char,Text pozn. pod čarou Char Char Char  Char"/>
    <w:basedOn w:val="Normlny"/>
    <w:link w:val="TextpoznmkypodiarouChar"/>
    <w:qFormat/>
    <w:rsid w:val="00364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/>
    </w:rPr>
  </w:style>
  <w:style w:type="character" w:customStyle="1" w:styleId="TextpoznmkypodiarouChar">
    <w:name w:val="Text poznámky pod čiarou Char"/>
    <w:aliases w:val="Text pozn. pod čarou Char Char Char,Text pozn. pod čarou Char Char Char Char Char,Text pozn. pod čarou Char Char Char  Char Char"/>
    <w:basedOn w:val="Predvolenpsmoodseku"/>
    <w:link w:val="Textpoznmkypodiarou"/>
    <w:rsid w:val="003648A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aliases w:val="Ref,de nota al pie"/>
    <w:rsid w:val="003648A0"/>
    <w:rPr>
      <w:vertAlign w:val="superscript"/>
    </w:rPr>
  </w:style>
  <w:style w:type="character" w:styleId="Hypertextovprepojenie">
    <w:name w:val="Hyperlink"/>
    <w:uiPriority w:val="99"/>
    <w:rsid w:val="0000554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A419D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A419D1"/>
    <w:rPr>
      <w:rFonts w:ascii="Times New Roman" w:eastAsia="Times New Roman" w:hAnsi="Times New Roman" w:cs="Times New Roman"/>
      <w:sz w:val="24"/>
      <w:szCs w:val="24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1885</Words>
  <Characters>10749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8</cp:revision>
  <cp:lastPrinted>2019-11-10T12:13:00Z</cp:lastPrinted>
  <dcterms:created xsi:type="dcterms:W3CDTF">2019-11-09T09:34:00Z</dcterms:created>
  <dcterms:modified xsi:type="dcterms:W3CDTF">2019-11-12T20:12:00Z</dcterms:modified>
</cp:coreProperties>
</file>