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E532" w14:textId="77777777" w:rsidR="00201DDC" w:rsidRDefault="004D1C83" w:rsidP="00DA27B9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27B9">
        <w:rPr>
          <w:rFonts w:ascii="Times New Roman" w:hAnsi="Times New Roman" w:cs="Times New Roman"/>
          <w:b/>
          <w:sz w:val="32"/>
          <w:szCs w:val="32"/>
        </w:rPr>
        <w:t>Otázky na štátnu skúšku z občianskeho práva</w:t>
      </w:r>
    </w:p>
    <w:p w14:paraId="6F7CA1F3" w14:textId="4FDE6251" w:rsidR="00201DDC" w:rsidRPr="00DA27B9" w:rsidRDefault="00201DDC" w:rsidP="00DA27B9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akad. rok 202</w:t>
      </w:r>
      <w:r w:rsidR="005E10C7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/202</w:t>
      </w:r>
      <w:r w:rsidR="005E10C7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14:paraId="09AC1791" w14:textId="77777777" w:rsidR="004D1C83" w:rsidRPr="00DA27B9" w:rsidRDefault="004D1C83" w:rsidP="00DA27B9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10DC56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Súkromné právo a jeho systém. Vzťah OP k obchodnému a pracovnému právu.</w:t>
      </w:r>
    </w:p>
    <w:p w14:paraId="63E18DBB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Pojem občianskeho práva, predmet úpravy, normy občianskeho práva.</w:t>
      </w:r>
    </w:p>
    <w:p w14:paraId="5F072B81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Pojem, pramene OP a ich výpočet, Občiansky zákonník, systematika a pôsobnosť.</w:t>
      </w:r>
    </w:p>
    <w:p w14:paraId="3A2E9700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Vývoj OP na území Slovenska po roku 1989.</w:t>
      </w:r>
    </w:p>
    <w:p w14:paraId="2863BA29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Zásady súkromného práva.</w:t>
      </w:r>
    </w:p>
    <w:p w14:paraId="14E98499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Prvky občianskoprávnych vzťahov – ich všeobecná charakteristika.</w:t>
      </w:r>
    </w:p>
    <w:p w14:paraId="5D90A2EB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Fyzické osoby – spôsobilosť na práva a povinnosti, spôsobilosť na právne úkony, deliktná spôsobilosť.</w:t>
      </w:r>
    </w:p>
    <w:p w14:paraId="10C6FA33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Podmienky vzniku práva na ochranu osobnosti a prostriedky ochrany. Predmety ochrany osobnostných práv.</w:t>
      </w:r>
    </w:p>
    <w:p w14:paraId="3C792E6D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Právnické osoby – pojmové znaky, druhy, vznik a zánik.</w:t>
      </w:r>
      <w:r w:rsidR="004D1C83" w:rsidRPr="00DA27B9">
        <w:rPr>
          <w:rFonts w:ascii="Times New Roman" w:hAnsi="Times New Roman" w:cs="Times New Roman"/>
          <w:sz w:val="24"/>
          <w:szCs w:val="24"/>
        </w:rPr>
        <w:t xml:space="preserve"> Zmluva o združení.</w:t>
      </w:r>
    </w:p>
    <w:p w14:paraId="0FF6D268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Zastúpenie – pojem, druhy, zákonné a zmluvné zastúpenie.</w:t>
      </w:r>
    </w:p>
    <w:p w14:paraId="0AF2AC36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Právne skutočnosti v OP, domnienky a fikcie. Právne úkony – pojem, druhy a vznik.</w:t>
      </w:r>
    </w:p>
    <w:p w14:paraId="1AC55196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Náležitosti právnych úkonov. Obsah právnych úkonov s osobitným zreteľom na podmienky.</w:t>
      </w:r>
    </w:p>
    <w:p w14:paraId="1ED7A34A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Neplatnosť právnych úkonov. Odstúpenie od zmluvy ako následok vadnosti právneho úkonu.</w:t>
      </w:r>
      <w:r w:rsidR="004D1C83" w:rsidRPr="00DA27B9">
        <w:rPr>
          <w:rFonts w:ascii="Times New Roman" w:hAnsi="Times New Roman" w:cs="Times New Roman"/>
          <w:sz w:val="24"/>
          <w:szCs w:val="24"/>
        </w:rPr>
        <w:t xml:space="preserve"> Odporovateľnosť právnych úkonov.</w:t>
      </w:r>
    </w:p>
    <w:p w14:paraId="519FFF69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Obsah občianskoprávnych vzťahov. Subjektívne práva a povinnosti. Výkon a ochrana práv v občianskoprávnych vzťahoch.</w:t>
      </w:r>
    </w:p>
    <w:p w14:paraId="02163B76" w14:textId="12081B5A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Predmet občianskoprávnych vzťahov. Veci – pojem, triedenie, súčasť, príslušenstvo.</w:t>
      </w:r>
      <w:r w:rsidR="005E10C7">
        <w:rPr>
          <w:rFonts w:ascii="Times New Roman" w:hAnsi="Times New Roman" w:cs="Times New Roman"/>
          <w:sz w:val="24"/>
          <w:szCs w:val="24"/>
        </w:rPr>
        <w:t xml:space="preserve"> </w:t>
      </w:r>
      <w:r w:rsidR="005E10C7" w:rsidRPr="005E10C7">
        <w:rPr>
          <w:rFonts w:ascii="Times New Roman" w:hAnsi="Times New Roman" w:cs="Times New Roman"/>
          <w:sz w:val="24"/>
          <w:szCs w:val="24"/>
        </w:rPr>
        <w:t>Digitálny obsah, digitálna služba</w:t>
      </w:r>
      <w:r w:rsidR="0038448B">
        <w:rPr>
          <w:rFonts w:ascii="Times New Roman" w:hAnsi="Times New Roman" w:cs="Times New Roman"/>
          <w:sz w:val="24"/>
          <w:szCs w:val="24"/>
        </w:rPr>
        <w:t>.</w:t>
      </w:r>
    </w:p>
    <w:p w14:paraId="29F3C8F4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Určenie času a počítanie lehôt. Preklúzia</w:t>
      </w:r>
    </w:p>
    <w:p w14:paraId="0870FD22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Premlčanie.</w:t>
      </w:r>
    </w:p>
    <w:p w14:paraId="71ABA637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Pojem a druhy vecných práv. Držba a detencia.</w:t>
      </w:r>
    </w:p>
    <w:p w14:paraId="611473E8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Vlastnícke právo – subjekty, predmet, obsah, výkon a obmedzenie, susedské vzťahy.</w:t>
      </w:r>
    </w:p>
    <w:p w14:paraId="68AF62B8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Ochrana vlastníctva – všeobecne a vlastnícke žaloby.</w:t>
      </w:r>
    </w:p>
    <w:p w14:paraId="2B6B2C13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lastRenderedPageBreak/>
        <w:t xml:space="preserve"> Kataster nehnuteľnosti – právna úprava a charakter zápisov. Vlastníctvo pozemkov a bytov.</w:t>
      </w:r>
    </w:p>
    <w:p w14:paraId="498698B6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Nadobudnutie vlastníctva zmluvou a inými spôsobmi.</w:t>
      </w:r>
    </w:p>
    <w:p w14:paraId="4B9D66B7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Podielové spoluvlastníctvo.</w:t>
      </w:r>
    </w:p>
    <w:p w14:paraId="707A6A32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Bezpodielové spoluvlastníctvo manželov.</w:t>
      </w:r>
    </w:p>
    <w:p w14:paraId="2348F9B3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Záložné právo – právna úprava, poj</w:t>
      </w:r>
      <w:r w:rsidR="004D1C83" w:rsidRPr="00DA27B9">
        <w:rPr>
          <w:rFonts w:ascii="Times New Roman" w:hAnsi="Times New Roman" w:cs="Times New Roman"/>
          <w:sz w:val="24"/>
          <w:szCs w:val="24"/>
        </w:rPr>
        <w:t>em a predmet, zriadenie a vznik, obsah záložného práva, výkon záložného práva.</w:t>
      </w:r>
    </w:p>
    <w:p w14:paraId="41A0137B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Vecné bremená.</w:t>
      </w:r>
      <w:r w:rsidR="004D1C83" w:rsidRPr="00DA27B9">
        <w:rPr>
          <w:rFonts w:ascii="Times New Roman" w:hAnsi="Times New Roman" w:cs="Times New Roman"/>
          <w:sz w:val="24"/>
          <w:szCs w:val="24"/>
        </w:rPr>
        <w:t xml:space="preserve"> Zádržné právo.</w:t>
      </w:r>
    </w:p>
    <w:p w14:paraId="35182C27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Záväzkové právo, záväzkovo-právny vzťah a jeho vznik. Druhy a predmet záväzkovoprávnych vzťahov. Naturálne obligácie.</w:t>
      </w:r>
    </w:p>
    <w:p w14:paraId="7B629F2B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Zmluva a jej vznik, zmluvy typické a atypické.</w:t>
      </w:r>
    </w:p>
    <w:p w14:paraId="11812E02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Spoločné záväzky.</w:t>
      </w:r>
    </w:p>
    <w:p w14:paraId="23CEC018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Zodpovednosť za vady.</w:t>
      </w:r>
    </w:p>
    <w:p w14:paraId="4DAC297E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Zmeny v obsahu záväzkov.</w:t>
      </w:r>
    </w:p>
    <w:p w14:paraId="60C09945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Zmeny v subjektoch záväzkovo-právneho vzťahu.</w:t>
      </w:r>
    </w:p>
    <w:p w14:paraId="57C4C561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</w:t>
      </w:r>
      <w:r w:rsidR="004D1C83" w:rsidRPr="00DA27B9">
        <w:rPr>
          <w:rFonts w:ascii="Times New Roman" w:hAnsi="Times New Roman" w:cs="Times New Roman"/>
          <w:sz w:val="24"/>
          <w:szCs w:val="24"/>
        </w:rPr>
        <w:t xml:space="preserve">Zabezpečenie pohľadávky v občianskom </w:t>
      </w:r>
      <w:r w:rsidRPr="00DA27B9">
        <w:rPr>
          <w:rFonts w:ascii="Times New Roman" w:hAnsi="Times New Roman" w:cs="Times New Roman"/>
          <w:sz w:val="24"/>
          <w:szCs w:val="24"/>
        </w:rPr>
        <w:t>práve.</w:t>
      </w:r>
    </w:p>
    <w:p w14:paraId="32D507DC" w14:textId="77777777" w:rsidR="00216EA1" w:rsidRPr="00DA27B9" w:rsidRDefault="004D1C83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</w:t>
      </w:r>
      <w:r w:rsidR="00216EA1" w:rsidRPr="00DA27B9">
        <w:rPr>
          <w:rFonts w:ascii="Times New Roman" w:hAnsi="Times New Roman" w:cs="Times New Roman"/>
          <w:sz w:val="24"/>
          <w:szCs w:val="24"/>
        </w:rPr>
        <w:t>Splnenie dlhu.</w:t>
      </w:r>
    </w:p>
    <w:p w14:paraId="319B52CC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Zánik záväzku inak než splnením.</w:t>
      </w:r>
    </w:p>
    <w:p w14:paraId="2EC427B7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Kúpna zmluva, vedľajšie dojednania pri kúpnej zmluve.</w:t>
      </w:r>
    </w:p>
    <w:p w14:paraId="36345586" w14:textId="77777777" w:rsidR="00216EA1" w:rsidRPr="00DA27B9" w:rsidRDefault="00DA27B9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EA1" w:rsidRPr="00DA27B9">
        <w:rPr>
          <w:rFonts w:ascii="Times New Roman" w:hAnsi="Times New Roman" w:cs="Times New Roman"/>
          <w:sz w:val="24"/>
          <w:szCs w:val="24"/>
        </w:rPr>
        <w:t>Bezodplatné zmluvy.</w:t>
      </w:r>
    </w:p>
    <w:p w14:paraId="10C1B872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Zmluva o dielo.</w:t>
      </w:r>
    </w:p>
    <w:p w14:paraId="72CD9AD1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Zmluva o pôžičke, spotrebiteľský úver. Zmluva o vklade.</w:t>
      </w:r>
    </w:p>
    <w:p w14:paraId="54B946F9" w14:textId="77777777" w:rsidR="004D1C83" w:rsidRPr="00DA27B9" w:rsidRDefault="004D1C83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Nájomná zmluva všeobecne.</w:t>
      </w:r>
    </w:p>
    <w:p w14:paraId="62E4B2D2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</w:t>
      </w:r>
      <w:r w:rsidR="004D1C83" w:rsidRPr="00DA27B9">
        <w:rPr>
          <w:rFonts w:ascii="Times New Roman" w:hAnsi="Times New Roman" w:cs="Times New Roman"/>
          <w:sz w:val="24"/>
          <w:szCs w:val="24"/>
        </w:rPr>
        <w:t>Nájom bytu</w:t>
      </w:r>
      <w:r w:rsidRPr="00DA27B9">
        <w:rPr>
          <w:rFonts w:ascii="Times New Roman" w:hAnsi="Times New Roman" w:cs="Times New Roman"/>
          <w:sz w:val="24"/>
          <w:szCs w:val="24"/>
        </w:rPr>
        <w:t>.</w:t>
      </w:r>
    </w:p>
    <w:p w14:paraId="7AACFF7F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Nájom a podnájom nebytových priestorov.</w:t>
      </w:r>
    </w:p>
    <w:p w14:paraId="59D2A9D7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Príkazná zmluva a sprostredkovateľská zmluva.</w:t>
      </w:r>
    </w:p>
    <w:p w14:paraId="01CA7CF1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Zmluva o preprave. Zmluva o </w:t>
      </w:r>
      <w:r w:rsidR="004D1C83" w:rsidRPr="00DA27B9">
        <w:rPr>
          <w:rFonts w:ascii="Times New Roman" w:hAnsi="Times New Roman" w:cs="Times New Roman"/>
          <w:sz w:val="24"/>
          <w:szCs w:val="24"/>
        </w:rPr>
        <w:t>zájazde</w:t>
      </w:r>
      <w:r w:rsidRPr="00DA27B9">
        <w:rPr>
          <w:rFonts w:ascii="Times New Roman" w:hAnsi="Times New Roman" w:cs="Times New Roman"/>
          <w:sz w:val="24"/>
          <w:szCs w:val="24"/>
        </w:rPr>
        <w:t>.</w:t>
      </w:r>
    </w:p>
    <w:p w14:paraId="5027E93D" w14:textId="19A89589" w:rsidR="00216EA1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Poistné zmluvy.</w:t>
      </w:r>
    </w:p>
    <w:p w14:paraId="737D610A" w14:textId="29FF5DFE" w:rsidR="005E10C7" w:rsidRPr="00DA27B9" w:rsidRDefault="005E10C7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0C7">
        <w:rPr>
          <w:rFonts w:ascii="Times New Roman" w:hAnsi="Times New Roman" w:cs="Times New Roman"/>
          <w:sz w:val="24"/>
          <w:szCs w:val="24"/>
        </w:rPr>
        <w:lastRenderedPageBreak/>
        <w:t>Zmluva s digitálnym plnením </w:t>
      </w:r>
    </w:p>
    <w:p w14:paraId="262BB224" w14:textId="77777777" w:rsidR="00216EA1" w:rsidRPr="00DA27B9" w:rsidRDefault="004D1C83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</w:t>
      </w:r>
      <w:r w:rsidR="00216EA1" w:rsidRPr="00DA27B9">
        <w:rPr>
          <w:rFonts w:ascii="Times New Roman" w:hAnsi="Times New Roman" w:cs="Times New Roman"/>
          <w:sz w:val="24"/>
          <w:szCs w:val="24"/>
        </w:rPr>
        <w:t>Prevenčná povinnosť</w:t>
      </w:r>
      <w:r w:rsidRPr="00DA27B9">
        <w:rPr>
          <w:rFonts w:ascii="Times New Roman" w:hAnsi="Times New Roman" w:cs="Times New Roman"/>
          <w:sz w:val="24"/>
          <w:szCs w:val="24"/>
        </w:rPr>
        <w:t xml:space="preserve"> v rámci zodpovednosti za škodu</w:t>
      </w:r>
      <w:r w:rsidR="00216EA1" w:rsidRPr="00DA27B9">
        <w:rPr>
          <w:rFonts w:ascii="Times New Roman" w:hAnsi="Times New Roman" w:cs="Times New Roman"/>
          <w:sz w:val="24"/>
          <w:szCs w:val="24"/>
        </w:rPr>
        <w:t xml:space="preserve"> a konanie bez príkazu.</w:t>
      </w:r>
    </w:p>
    <w:p w14:paraId="755DC58C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Všeobecne o zodpovednosti – prevencia, pojem, funkcie, druhy občianskoprávnej zodpovednosti. Obsah, rozsah a spôsob náhrady škody.</w:t>
      </w:r>
    </w:p>
    <w:p w14:paraId="29708E16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Subjekty zodpovednosti a spoluzodpovednosť viacerých subjektov. Zodpovednosť za škodu spôsobenú tými, ktorí nemôžu posúdiť následky svojho konania.</w:t>
      </w:r>
    </w:p>
    <w:p w14:paraId="5E07B024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Zodpovednosť za škodu spôsobenú zavineným protiprávnym konaním.</w:t>
      </w:r>
    </w:p>
    <w:p w14:paraId="67FD4039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Objektívna zodpovednosť všeobecne, osobitné prípady objektívnej zodpovednosti.</w:t>
      </w:r>
    </w:p>
    <w:p w14:paraId="7995C12A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Bezdôvodné obohatenie.</w:t>
      </w:r>
    </w:p>
    <w:p w14:paraId="01206F22" w14:textId="77777777" w:rsidR="00216EA1" w:rsidRPr="00757F90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Ochrana spotrebiteľa pred neprijateľnými podmienkami v spotrebiteľských zmluvách a pred nekalými obchodnými praktikami, iné nástroje </w:t>
      </w:r>
      <w:r w:rsidRPr="00757F90">
        <w:rPr>
          <w:rFonts w:ascii="Times New Roman" w:hAnsi="Times New Roman" w:cs="Times New Roman"/>
          <w:sz w:val="24"/>
          <w:szCs w:val="24"/>
        </w:rPr>
        <w:t>ochrany spotrebiteľa.</w:t>
      </w:r>
    </w:p>
    <w:p w14:paraId="25E24CF4" w14:textId="4C09B9FD" w:rsidR="0038448B" w:rsidRPr="00757F90" w:rsidRDefault="004D1C83" w:rsidP="0038448B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7F90">
        <w:rPr>
          <w:rFonts w:ascii="Times New Roman" w:hAnsi="Times New Roman" w:cs="Times New Roman"/>
          <w:sz w:val="24"/>
          <w:szCs w:val="24"/>
        </w:rPr>
        <w:t xml:space="preserve"> </w:t>
      </w:r>
      <w:r w:rsidR="0038448B" w:rsidRPr="00757F90">
        <w:rPr>
          <w:rFonts w:ascii="Times New Roman" w:hAnsi="Times New Roman" w:cs="Times New Roman"/>
          <w:sz w:val="24"/>
          <w:szCs w:val="24"/>
        </w:rPr>
        <w:t>S</w:t>
      </w:r>
      <w:r w:rsidR="00216EA1" w:rsidRPr="00757F90">
        <w:rPr>
          <w:rFonts w:ascii="Times New Roman" w:hAnsi="Times New Roman" w:cs="Times New Roman"/>
          <w:sz w:val="24"/>
          <w:szCs w:val="24"/>
        </w:rPr>
        <w:t>potrebiteľská kúpna zmluva</w:t>
      </w:r>
      <w:r w:rsidR="0038448B" w:rsidRPr="00757F90">
        <w:rPr>
          <w:rFonts w:ascii="Times New Roman" w:hAnsi="Times New Roman" w:cs="Times New Roman"/>
          <w:sz w:val="24"/>
          <w:szCs w:val="24"/>
        </w:rPr>
        <w:t xml:space="preserve"> </w:t>
      </w:r>
      <w:r w:rsidR="00216EA1" w:rsidRPr="00757F90">
        <w:rPr>
          <w:rFonts w:ascii="Times New Roman" w:hAnsi="Times New Roman" w:cs="Times New Roman"/>
          <w:sz w:val="24"/>
          <w:szCs w:val="24"/>
        </w:rPr>
        <w:t xml:space="preserve">a ochrana spotrebiteľa </w:t>
      </w:r>
      <w:r w:rsidR="0050563D" w:rsidRPr="00757F90">
        <w:rPr>
          <w:rFonts w:ascii="Times New Roman" w:hAnsi="Times New Roman" w:cs="Times New Roman"/>
          <w:sz w:val="24"/>
          <w:szCs w:val="24"/>
        </w:rPr>
        <w:t xml:space="preserve">v zmluvných vzťahoch </w:t>
      </w:r>
      <w:r w:rsidR="00216EA1" w:rsidRPr="00757F90">
        <w:rPr>
          <w:rFonts w:ascii="Times New Roman" w:hAnsi="Times New Roman" w:cs="Times New Roman"/>
          <w:sz w:val="24"/>
          <w:szCs w:val="24"/>
        </w:rPr>
        <w:t>p</w:t>
      </w:r>
      <w:r w:rsidR="0050563D" w:rsidRPr="00757F90">
        <w:rPr>
          <w:rFonts w:ascii="Times New Roman" w:hAnsi="Times New Roman" w:cs="Times New Roman"/>
          <w:sz w:val="24"/>
          <w:szCs w:val="24"/>
        </w:rPr>
        <w:t>ri uzavretí zmluvy na diaľku alebo mimo prevádzkových priestorov obchodníka</w:t>
      </w:r>
    </w:p>
    <w:p w14:paraId="39EA7FCB" w14:textId="2C30FA06" w:rsidR="00216EA1" w:rsidRPr="00757F90" w:rsidRDefault="00216EA1" w:rsidP="00757F9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8448B">
        <w:rPr>
          <w:rFonts w:ascii="Times New Roman" w:hAnsi="Times New Roman" w:cs="Times New Roman"/>
          <w:sz w:val="24"/>
          <w:szCs w:val="24"/>
        </w:rPr>
        <w:t>Zodpovednosť za vady pri spotrebiteľskej kúpe tovaru. Zodpovednosť za škodu spôsobenú vadným výrobkom.</w:t>
      </w:r>
    </w:p>
    <w:p w14:paraId="7435636A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Všeobecne o dedení – pojem dedičské právo, pramene, základné zásady</w:t>
      </w:r>
      <w:r w:rsidR="004D1C83" w:rsidRPr="00DA27B9">
        <w:rPr>
          <w:rFonts w:ascii="Times New Roman" w:hAnsi="Times New Roman" w:cs="Times New Roman"/>
          <w:sz w:val="24"/>
          <w:szCs w:val="24"/>
        </w:rPr>
        <w:t xml:space="preserve"> dedenia. Predpoklady dedenia, n</w:t>
      </w:r>
      <w:r w:rsidRPr="00DA27B9">
        <w:rPr>
          <w:rFonts w:ascii="Times New Roman" w:hAnsi="Times New Roman" w:cs="Times New Roman"/>
          <w:sz w:val="24"/>
          <w:szCs w:val="24"/>
        </w:rPr>
        <w:t>adobudnutie dedičstva, ochrana oprávneného dediča.</w:t>
      </w:r>
      <w:r w:rsidR="004D1C83" w:rsidRPr="00DA27B9">
        <w:rPr>
          <w:rFonts w:ascii="Times New Roman" w:hAnsi="Times New Roman" w:cs="Times New Roman"/>
          <w:sz w:val="24"/>
          <w:szCs w:val="24"/>
        </w:rPr>
        <w:t xml:space="preserve"> Dedičská nespôsobilosť, vydedenie, odmietnutie dedičstva.</w:t>
      </w:r>
    </w:p>
    <w:p w14:paraId="3F33BD17" w14:textId="77777777" w:rsidR="00216EA1" w:rsidRPr="00DA27B9" w:rsidRDefault="004D1C83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</w:t>
      </w:r>
      <w:r w:rsidR="00216EA1" w:rsidRPr="00DA27B9">
        <w:rPr>
          <w:rFonts w:ascii="Times New Roman" w:hAnsi="Times New Roman" w:cs="Times New Roman"/>
          <w:sz w:val="24"/>
          <w:szCs w:val="24"/>
        </w:rPr>
        <w:t>Dedenie zo závetu.</w:t>
      </w:r>
      <w:r w:rsidRPr="00DA27B9">
        <w:rPr>
          <w:rFonts w:ascii="Times New Roman" w:hAnsi="Times New Roman" w:cs="Times New Roman"/>
          <w:sz w:val="24"/>
          <w:szCs w:val="24"/>
        </w:rPr>
        <w:t xml:space="preserve"> Dedenie zo zákona.</w:t>
      </w:r>
    </w:p>
    <w:p w14:paraId="3EE9DE44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Autorské právo (subjekt, predmet a obsah) a zmluvné vzťahy v autorskom práve.</w:t>
      </w:r>
    </w:p>
    <w:p w14:paraId="2D00B869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Predmety priemyselného vlastníctva, pojmové vymedzenie, zápisná spôsobilosť a zmluvné vzťahy.</w:t>
      </w:r>
    </w:p>
    <w:p w14:paraId="0FAF6898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Systematické členenie práva duševného vlastníctva, zmluvné právo a zamestnanecké režimy.</w:t>
      </w:r>
    </w:p>
    <w:p w14:paraId="21FB2B9C" w14:textId="2DBBDED1" w:rsidR="00216EA1" w:rsidRPr="00757F90" w:rsidRDefault="00216EA1" w:rsidP="00757F9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Základné zásady rodinného práva. Vzťah zákona o rodine a Občianskeho zákonníka.</w:t>
      </w:r>
      <w:r w:rsidR="00757F90">
        <w:rPr>
          <w:rFonts w:ascii="Times New Roman" w:hAnsi="Times New Roman" w:cs="Times New Roman"/>
          <w:sz w:val="24"/>
          <w:szCs w:val="24"/>
        </w:rPr>
        <w:t xml:space="preserve"> </w:t>
      </w:r>
      <w:r w:rsidR="00DA27B9" w:rsidRPr="00757F90">
        <w:rPr>
          <w:rFonts w:ascii="Times New Roman" w:hAnsi="Times New Roman" w:cs="Times New Roman"/>
          <w:sz w:val="24"/>
          <w:szCs w:val="24"/>
        </w:rPr>
        <w:t>Manželstvo.</w:t>
      </w:r>
    </w:p>
    <w:p w14:paraId="0410EADE" w14:textId="27090B10" w:rsidR="00216EA1" w:rsidRPr="00757F90" w:rsidRDefault="00216EA1" w:rsidP="00757F9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Rodičovské práva a povinnosti. Práva a povinnosti dieťaťa.</w:t>
      </w:r>
      <w:r w:rsidR="00757F90">
        <w:rPr>
          <w:rFonts w:ascii="Times New Roman" w:hAnsi="Times New Roman" w:cs="Times New Roman"/>
          <w:sz w:val="24"/>
          <w:szCs w:val="24"/>
        </w:rPr>
        <w:t xml:space="preserve"> </w:t>
      </w:r>
      <w:r w:rsidR="00757F90" w:rsidRPr="00DA27B9">
        <w:rPr>
          <w:rFonts w:ascii="Times New Roman" w:hAnsi="Times New Roman" w:cs="Times New Roman"/>
          <w:sz w:val="24"/>
          <w:szCs w:val="24"/>
        </w:rPr>
        <w:t>Určenie rodičovstva. Zapretie otcovstva.</w:t>
      </w:r>
    </w:p>
    <w:p w14:paraId="13677ABD" w14:textId="22962A64" w:rsidR="00216EA1" w:rsidRPr="00757F90" w:rsidRDefault="00216EA1" w:rsidP="00757F9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Pestúnska starostlivosť, náhradná osobná starostlivosť a ústavná starostlivosť. </w:t>
      </w:r>
      <w:r w:rsidRPr="00757F90">
        <w:rPr>
          <w:rFonts w:ascii="Times New Roman" w:hAnsi="Times New Roman" w:cs="Times New Roman"/>
          <w:sz w:val="24"/>
          <w:szCs w:val="24"/>
        </w:rPr>
        <w:t xml:space="preserve">Osvojenie. </w:t>
      </w:r>
    </w:p>
    <w:p w14:paraId="03DC549E" w14:textId="20FA2BEC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</w:t>
      </w:r>
      <w:r w:rsidR="00757F90" w:rsidRPr="00757F90">
        <w:rPr>
          <w:rFonts w:ascii="Times New Roman" w:hAnsi="Times New Roman" w:cs="Times New Roman"/>
          <w:sz w:val="24"/>
          <w:szCs w:val="24"/>
        </w:rPr>
        <w:t>Vyživovacie povinnosti podľa slovenského rodinného práva.</w:t>
      </w:r>
    </w:p>
    <w:p w14:paraId="3D17267E" w14:textId="06A289DE" w:rsidR="00216EA1" w:rsidRPr="00757F90" w:rsidRDefault="00216EA1" w:rsidP="00757F90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Poručníctvo a opatrovníctvo. </w:t>
      </w:r>
      <w:r w:rsidR="00757F90">
        <w:rPr>
          <w:rFonts w:ascii="Times New Roman" w:hAnsi="Times New Roman" w:cs="Times New Roman"/>
          <w:sz w:val="24"/>
          <w:szCs w:val="24"/>
        </w:rPr>
        <w:t xml:space="preserve"> </w:t>
      </w:r>
      <w:r w:rsidRPr="00757F90">
        <w:rPr>
          <w:rFonts w:ascii="Times New Roman" w:hAnsi="Times New Roman" w:cs="Times New Roman"/>
          <w:sz w:val="24"/>
          <w:szCs w:val="24"/>
        </w:rPr>
        <w:t xml:space="preserve">Zásahy štátu do výkonu rodičovských práv. </w:t>
      </w:r>
    </w:p>
    <w:p w14:paraId="3C2C92C1" w14:textId="77777777" w:rsidR="00216EA1" w:rsidRPr="00DA27B9" w:rsidRDefault="00DA27B9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16EA1" w:rsidRPr="00DA27B9">
        <w:rPr>
          <w:rFonts w:ascii="Times New Roman" w:hAnsi="Times New Roman" w:cs="Times New Roman"/>
          <w:sz w:val="24"/>
          <w:szCs w:val="24"/>
        </w:rPr>
        <w:t>Civilný proces a civilné právo procesné - základná charakteristika (pojem, predmet, prvky, druhy civilného procesu); Postavenie civilného práva procesného v systéme práva, vzťah medzi procesným právom a hmotným právom, druhy civilného procesu.</w:t>
      </w:r>
    </w:p>
    <w:p w14:paraId="1506CDEF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Pramene civilného práva procesného (vnútroštátne, medzinárodné, európske); Systematika Civilného sporového poriadku, jeho pôsobnosť a vzájomné vzťahy k iným prameňom civilného práva procesného.</w:t>
      </w:r>
    </w:p>
    <w:p w14:paraId="20A3FE28" w14:textId="5912DE3B" w:rsidR="005D055A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</w:t>
      </w:r>
      <w:r w:rsidR="00575801">
        <w:rPr>
          <w:rFonts w:ascii="Times New Roman" w:hAnsi="Times New Roman" w:cs="Times New Roman"/>
          <w:sz w:val="24"/>
          <w:szCs w:val="24"/>
        </w:rPr>
        <w:t>P</w:t>
      </w:r>
      <w:r w:rsidR="005D055A">
        <w:rPr>
          <w:rFonts w:ascii="Times New Roman" w:hAnsi="Times New Roman" w:cs="Times New Roman"/>
          <w:sz w:val="24"/>
          <w:szCs w:val="24"/>
        </w:rPr>
        <w:t>rejednací princíp, princíp arbitrárneho poriadku, princíp právnej istoty</w:t>
      </w:r>
    </w:p>
    <w:p w14:paraId="4116F8CE" w14:textId="26590716" w:rsidR="00216EA1" w:rsidRDefault="0057580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D055A">
        <w:rPr>
          <w:rFonts w:ascii="Times New Roman" w:hAnsi="Times New Roman" w:cs="Times New Roman"/>
          <w:sz w:val="24"/>
          <w:szCs w:val="24"/>
        </w:rPr>
        <w:t>rin</w:t>
      </w:r>
      <w:r w:rsidR="00902A83">
        <w:rPr>
          <w:rFonts w:ascii="Times New Roman" w:hAnsi="Times New Roman" w:cs="Times New Roman"/>
          <w:sz w:val="24"/>
          <w:szCs w:val="24"/>
        </w:rPr>
        <w:t>c</w:t>
      </w:r>
      <w:r w:rsidR="005D055A">
        <w:rPr>
          <w:rFonts w:ascii="Times New Roman" w:hAnsi="Times New Roman" w:cs="Times New Roman"/>
          <w:sz w:val="24"/>
          <w:szCs w:val="24"/>
        </w:rPr>
        <w:t>íp priamosti a bezprostrednosti, princíp hospodárnosti, koncentračný princíp</w:t>
      </w:r>
    </w:p>
    <w:p w14:paraId="1FD43933" w14:textId="34184A82" w:rsidR="00D27C24" w:rsidRPr="00DA27B9" w:rsidRDefault="0057580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27C24">
        <w:rPr>
          <w:rFonts w:ascii="Times New Roman" w:hAnsi="Times New Roman" w:cs="Times New Roman"/>
          <w:sz w:val="24"/>
          <w:szCs w:val="24"/>
        </w:rPr>
        <w:t>ýkladové pravidlá, analógia, princíp kontradiktórnosti</w:t>
      </w:r>
    </w:p>
    <w:p w14:paraId="2953CC68" w14:textId="43E7EDE1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</w:t>
      </w:r>
      <w:r w:rsidR="00575801">
        <w:rPr>
          <w:rFonts w:ascii="Times New Roman" w:hAnsi="Times New Roman" w:cs="Times New Roman"/>
          <w:sz w:val="24"/>
          <w:szCs w:val="24"/>
        </w:rPr>
        <w:t>V</w:t>
      </w:r>
      <w:r w:rsidR="00D27C24">
        <w:rPr>
          <w:rFonts w:ascii="Times New Roman" w:hAnsi="Times New Roman" w:cs="Times New Roman"/>
          <w:sz w:val="24"/>
          <w:szCs w:val="24"/>
        </w:rPr>
        <w:t>yšetrovací princíp, princíp oficiality, princíp neformálnosti</w:t>
      </w:r>
    </w:p>
    <w:p w14:paraId="1CF0616F" w14:textId="7BDAF176" w:rsidR="005D055A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Strany</w:t>
      </w:r>
      <w:r w:rsidR="005D055A">
        <w:rPr>
          <w:rFonts w:ascii="Times New Roman" w:hAnsi="Times New Roman" w:cs="Times New Roman"/>
          <w:sz w:val="24"/>
          <w:szCs w:val="24"/>
        </w:rPr>
        <w:t xml:space="preserve"> sporu</w:t>
      </w:r>
      <w:r w:rsidR="00575801">
        <w:rPr>
          <w:rFonts w:ascii="Times New Roman" w:hAnsi="Times New Roman" w:cs="Times New Roman"/>
          <w:sz w:val="24"/>
          <w:szCs w:val="24"/>
        </w:rPr>
        <w:t xml:space="preserve">, </w:t>
      </w:r>
      <w:r w:rsidR="005D055A">
        <w:rPr>
          <w:rFonts w:ascii="Times New Roman" w:hAnsi="Times New Roman" w:cs="Times New Roman"/>
          <w:sz w:val="24"/>
          <w:szCs w:val="24"/>
        </w:rPr>
        <w:t>procesná spôsobilosť, procesná subjektivita</w:t>
      </w:r>
    </w:p>
    <w:p w14:paraId="0ED575E5" w14:textId="4A4039A6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Procesné spoločenstvo.</w:t>
      </w:r>
    </w:p>
    <w:p w14:paraId="2E1889F1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Zastúpenie v civilnom procese.</w:t>
      </w:r>
    </w:p>
    <w:p w14:paraId="7E709B6B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Zloženie súdu a vylúčenie sudcov a iných osôb.</w:t>
      </w:r>
    </w:p>
    <w:p w14:paraId="410752E7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Procesné úkony súdu; Predvolanie a predvedenie.</w:t>
      </w:r>
    </w:p>
    <w:p w14:paraId="51044BA6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Doručovanie v civilnom procese.</w:t>
      </w:r>
    </w:p>
    <w:p w14:paraId="2CD6F014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Lehoty v civilnom procese; Poriadkové opatrenia.</w:t>
      </w:r>
    </w:p>
    <w:p w14:paraId="4CC501C3" w14:textId="3ACBE112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Procesné podmienky a ich skúmanie</w:t>
      </w:r>
      <w:r w:rsidR="005D055A">
        <w:rPr>
          <w:rFonts w:ascii="Times New Roman" w:hAnsi="Times New Roman" w:cs="Times New Roman"/>
          <w:sz w:val="24"/>
          <w:szCs w:val="24"/>
        </w:rPr>
        <w:t xml:space="preserve"> (vymenovanie a stručná charakteristika, následky nedostatku procesných podmienok)</w:t>
      </w:r>
    </w:p>
    <w:p w14:paraId="3CE16F28" w14:textId="1135558D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Právomoc súdov, skúmanie právomoci; </w:t>
      </w:r>
    </w:p>
    <w:p w14:paraId="08AFAF5E" w14:textId="77777777" w:rsidR="005D055A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Príslušnosť súdov v civilnom procese</w:t>
      </w:r>
      <w:r w:rsidR="005D055A">
        <w:rPr>
          <w:rFonts w:ascii="Times New Roman" w:hAnsi="Times New Roman" w:cs="Times New Roman"/>
          <w:sz w:val="24"/>
          <w:szCs w:val="24"/>
        </w:rPr>
        <w:t xml:space="preserve"> (kauzálna, funkčná, vecná, spory o príslušnosť)</w:t>
      </w:r>
    </w:p>
    <w:p w14:paraId="2F7218CA" w14:textId="4442D1CC" w:rsidR="00216EA1" w:rsidRPr="00DA27B9" w:rsidRDefault="005D055A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Príslušnosť súdov (miestna príslušnosť súdov a jej skúmanie súdom)</w:t>
      </w:r>
    </w:p>
    <w:p w14:paraId="472DCD42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Prostriedky procesného útoku, prostriedky procesnej obrany a koncentrácia konania; Spojenie vecí.</w:t>
      </w:r>
    </w:p>
    <w:p w14:paraId="43282894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Podanie.</w:t>
      </w:r>
    </w:p>
    <w:p w14:paraId="6F7902EA" w14:textId="77777777" w:rsidR="005D055A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Žaloba</w:t>
      </w:r>
      <w:r w:rsidR="005D055A">
        <w:rPr>
          <w:rFonts w:ascii="Times New Roman" w:hAnsi="Times New Roman" w:cs="Times New Roman"/>
          <w:sz w:val="24"/>
          <w:szCs w:val="24"/>
        </w:rPr>
        <w:t xml:space="preserve"> – náležitosti, odstraňovanie vád žaloby</w:t>
      </w:r>
    </w:p>
    <w:p w14:paraId="76A99A2B" w14:textId="55ABE6D2" w:rsidR="00216EA1" w:rsidRPr="00DA27B9" w:rsidRDefault="0057580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D055A">
        <w:rPr>
          <w:rFonts w:ascii="Times New Roman" w:hAnsi="Times New Roman" w:cs="Times New Roman"/>
          <w:sz w:val="24"/>
          <w:szCs w:val="24"/>
        </w:rPr>
        <w:t>ruhy žalôb</w:t>
      </w:r>
    </w:p>
    <w:p w14:paraId="4EE4E853" w14:textId="77777777" w:rsidR="00B02E74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</w:t>
      </w:r>
      <w:r w:rsidR="00B02E74">
        <w:rPr>
          <w:rFonts w:ascii="Times New Roman" w:hAnsi="Times New Roman" w:cs="Times New Roman"/>
          <w:sz w:val="24"/>
          <w:szCs w:val="24"/>
        </w:rPr>
        <w:t>Zmena žaloby</w:t>
      </w:r>
    </w:p>
    <w:p w14:paraId="638C4CBE" w14:textId="132214B7" w:rsidR="00216EA1" w:rsidRPr="00DA27B9" w:rsidRDefault="00B02E74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Vzájomná žaloba, späťvzatie žaloby</w:t>
      </w:r>
    </w:p>
    <w:p w14:paraId="18690F3C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lastRenderedPageBreak/>
        <w:t xml:space="preserve"> Pristúpenie a zmena subjektov a intervencia.</w:t>
      </w:r>
    </w:p>
    <w:p w14:paraId="117A2E17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Konanie v prvej inštancii; Poučovacia povinnosť súdu; Prerušenie konania.</w:t>
      </w:r>
    </w:p>
    <w:p w14:paraId="1746F22A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Písomné štádium konania.</w:t>
      </w:r>
    </w:p>
    <w:p w14:paraId="17C4E584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Predbežné prejednanie sporu.</w:t>
      </w:r>
    </w:p>
    <w:p w14:paraId="77A5AB87" w14:textId="77777777" w:rsidR="00216EA1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Miesto, dôstojnosť a verejnosť pojednávania a uskutočňovanie; Zaznamenávanie priebehu pojednávania.</w:t>
      </w:r>
    </w:p>
    <w:p w14:paraId="29B24B30" w14:textId="77777777" w:rsidR="00216EA1" w:rsidRPr="00DA27B9" w:rsidRDefault="00DA27B9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P</w:t>
      </w:r>
      <w:r w:rsidR="00216EA1" w:rsidRPr="00DA27B9">
        <w:rPr>
          <w:rFonts w:ascii="Times New Roman" w:hAnsi="Times New Roman" w:cs="Times New Roman"/>
          <w:sz w:val="24"/>
          <w:szCs w:val="24"/>
        </w:rPr>
        <w:t>riebeh pojednávania.</w:t>
      </w:r>
    </w:p>
    <w:p w14:paraId="37FB2EB4" w14:textId="6F7F2FB3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Zmier, mediácia a alternatívne riešenie spotrebiteľských sporov</w:t>
      </w:r>
      <w:r w:rsidR="00B86F73">
        <w:rPr>
          <w:rFonts w:ascii="Times New Roman" w:hAnsi="Times New Roman" w:cs="Times New Roman"/>
          <w:sz w:val="24"/>
          <w:szCs w:val="24"/>
        </w:rPr>
        <w:t>, s</w:t>
      </w:r>
      <w:r w:rsidR="00B86F73" w:rsidRPr="00DA27B9">
        <w:rPr>
          <w:rFonts w:ascii="Times New Roman" w:hAnsi="Times New Roman" w:cs="Times New Roman"/>
          <w:sz w:val="24"/>
          <w:szCs w:val="24"/>
        </w:rPr>
        <w:t>potrebiteľské rozhodcovské konanie.</w:t>
      </w:r>
    </w:p>
    <w:p w14:paraId="3A3B870F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Neodkladné opatrenia.</w:t>
      </w:r>
    </w:p>
    <w:p w14:paraId="18B911DC" w14:textId="37E12EAF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Zabezpečovacie opatrenia</w:t>
      </w:r>
      <w:r w:rsidR="00902A83">
        <w:rPr>
          <w:rFonts w:ascii="Times New Roman" w:hAnsi="Times New Roman" w:cs="Times New Roman"/>
          <w:sz w:val="24"/>
          <w:szCs w:val="24"/>
        </w:rPr>
        <w:t>, zabezpečenie dôkazu a zabezpečenie dôkazného prostriedku</w:t>
      </w:r>
      <w:r w:rsidRPr="00DA27B9">
        <w:rPr>
          <w:rFonts w:ascii="Times New Roman" w:hAnsi="Times New Roman" w:cs="Times New Roman"/>
          <w:sz w:val="24"/>
          <w:szCs w:val="24"/>
        </w:rPr>
        <w:t>.</w:t>
      </w:r>
    </w:p>
    <w:p w14:paraId="12E8B681" w14:textId="5C853A3B" w:rsidR="005B1DA3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Dokazovanie v civilnom procese</w:t>
      </w:r>
      <w:r w:rsidR="005D055A">
        <w:rPr>
          <w:rFonts w:ascii="Times New Roman" w:hAnsi="Times New Roman" w:cs="Times New Roman"/>
          <w:sz w:val="24"/>
          <w:szCs w:val="24"/>
        </w:rPr>
        <w:t xml:space="preserve"> (predmet dokazovani</w:t>
      </w:r>
      <w:r w:rsidR="00575801">
        <w:rPr>
          <w:rFonts w:ascii="Times New Roman" w:hAnsi="Times New Roman" w:cs="Times New Roman"/>
          <w:sz w:val="24"/>
          <w:szCs w:val="24"/>
        </w:rPr>
        <w:t>a</w:t>
      </w:r>
      <w:r w:rsidR="005B1DA3">
        <w:rPr>
          <w:rFonts w:ascii="Times New Roman" w:hAnsi="Times New Roman" w:cs="Times New Roman"/>
          <w:sz w:val="24"/>
          <w:szCs w:val="24"/>
        </w:rPr>
        <w:t>,</w:t>
      </w:r>
      <w:r w:rsidR="005D055A">
        <w:rPr>
          <w:rFonts w:ascii="Times New Roman" w:hAnsi="Times New Roman" w:cs="Times New Roman"/>
          <w:sz w:val="24"/>
          <w:szCs w:val="24"/>
        </w:rPr>
        <w:t xml:space="preserve"> princípy dokazovania</w:t>
      </w:r>
      <w:r w:rsidR="00575801">
        <w:rPr>
          <w:rFonts w:ascii="Times New Roman" w:hAnsi="Times New Roman" w:cs="Times New Roman"/>
          <w:sz w:val="24"/>
          <w:szCs w:val="24"/>
        </w:rPr>
        <w:t>)</w:t>
      </w:r>
      <w:r w:rsidR="005D05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EDC5F" w14:textId="085BFDC4" w:rsidR="00216EA1" w:rsidRPr="00DA27B9" w:rsidRDefault="005B1DA3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Dokazovanie (</w:t>
      </w:r>
      <w:r w:rsidR="005D055A">
        <w:rPr>
          <w:rFonts w:ascii="Times New Roman" w:hAnsi="Times New Roman" w:cs="Times New Roman"/>
          <w:sz w:val="24"/>
          <w:szCs w:val="24"/>
        </w:rPr>
        <w:t>dôkazný štandard, nezákonný dôkaz)</w:t>
      </w:r>
    </w:p>
    <w:p w14:paraId="7C88EBDE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Výsluch svedka a výsluch strany.</w:t>
      </w:r>
    </w:p>
    <w:p w14:paraId="2BCDAF2B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Listina, odborné vyjadrenie, znalecké dokazovanie a obhliadka.</w:t>
      </w:r>
    </w:p>
    <w:p w14:paraId="0CC5C07E" w14:textId="5B4F4E36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Rozsudok</w:t>
      </w:r>
      <w:r w:rsidR="005D055A">
        <w:rPr>
          <w:rFonts w:ascii="Times New Roman" w:hAnsi="Times New Roman" w:cs="Times New Roman"/>
          <w:sz w:val="24"/>
          <w:szCs w:val="24"/>
        </w:rPr>
        <w:t xml:space="preserve"> (charakteristika</w:t>
      </w:r>
      <w:r w:rsidR="00575801">
        <w:rPr>
          <w:rFonts w:ascii="Times New Roman" w:hAnsi="Times New Roman" w:cs="Times New Roman"/>
          <w:sz w:val="24"/>
          <w:szCs w:val="24"/>
        </w:rPr>
        <w:t>,</w:t>
      </w:r>
      <w:r w:rsidR="005D055A">
        <w:rPr>
          <w:rFonts w:ascii="Times New Roman" w:hAnsi="Times New Roman" w:cs="Times New Roman"/>
          <w:sz w:val="24"/>
          <w:szCs w:val="24"/>
        </w:rPr>
        <w:t> druhy, náležitosti)</w:t>
      </w:r>
    </w:p>
    <w:p w14:paraId="19765A46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Doručovanie rozsudku, právoplatnosť a vykonateľnosť rozsudku.</w:t>
      </w:r>
    </w:p>
    <w:p w14:paraId="6C71E141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Uznesenie.</w:t>
      </w:r>
    </w:p>
    <w:p w14:paraId="67DB72CC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Sťažnosť (proti uzneseniu).</w:t>
      </w:r>
    </w:p>
    <w:p w14:paraId="0200281F" w14:textId="01392753" w:rsidR="00B02E74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Trovy konania, náhrada trov konania</w:t>
      </w:r>
      <w:r w:rsidR="00902A83">
        <w:rPr>
          <w:rFonts w:ascii="Times New Roman" w:hAnsi="Times New Roman" w:cs="Times New Roman"/>
          <w:sz w:val="24"/>
          <w:szCs w:val="24"/>
        </w:rPr>
        <w:t>.</w:t>
      </w:r>
    </w:p>
    <w:p w14:paraId="68CFE36F" w14:textId="7EE5FB8D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</w:t>
      </w:r>
      <w:r w:rsidR="00B02E74">
        <w:rPr>
          <w:rFonts w:ascii="Times New Roman" w:hAnsi="Times New Roman" w:cs="Times New Roman"/>
          <w:sz w:val="24"/>
          <w:szCs w:val="24"/>
        </w:rPr>
        <w:t>R</w:t>
      </w:r>
      <w:r w:rsidRPr="00DA27B9">
        <w:rPr>
          <w:rFonts w:ascii="Times New Roman" w:hAnsi="Times New Roman" w:cs="Times New Roman"/>
          <w:sz w:val="24"/>
          <w:szCs w:val="24"/>
        </w:rPr>
        <w:t>ozhodovanie o trovách konania</w:t>
      </w:r>
      <w:r w:rsidR="00B02E74">
        <w:rPr>
          <w:rFonts w:ascii="Times New Roman" w:hAnsi="Times New Roman" w:cs="Times New Roman"/>
          <w:sz w:val="24"/>
          <w:szCs w:val="24"/>
        </w:rPr>
        <w:t>, rozdiely medzi sporovým a mimosporovým konaním</w:t>
      </w:r>
      <w:r w:rsidR="00902A83">
        <w:rPr>
          <w:rFonts w:ascii="Times New Roman" w:hAnsi="Times New Roman" w:cs="Times New Roman"/>
          <w:sz w:val="24"/>
          <w:szCs w:val="24"/>
        </w:rPr>
        <w:t>.</w:t>
      </w:r>
    </w:p>
    <w:p w14:paraId="0A5505AD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Platobný rozkaz.</w:t>
      </w:r>
    </w:p>
    <w:p w14:paraId="7AC763FC" w14:textId="10D77B94" w:rsidR="00216EA1" w:rsidRPr="00DA27B9" w:rsidRDefault="00216EA1" w:rsidP="00902A83">
      <w:pPr>
        <w:pStyle w:val="Odsekzoznamu"/>
        <w:tabs>
          <w:tab w:val="left" w:pos="0"/>
          <w:tab w:val="left" w:pos="142"/>
          <w:tab w:val="left" w:pos="284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3A5D8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Rozsudok pre zmeškanie, rozsudok pre uznanie nároku a rozsudok pre vzdanie sa nároku.</w:t>
      </w:r>
    </w:p>
    <w:p w14:paraId="7A0E2D80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Spotrebiteľské spory.</w:t>
      </w:r>
    </w:p>
    <w:p w14:paraId="0CF48622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Antidiskriminačné spory; individuálne  pracovnoprávne spory.</w:t>
      </w:r>
    </w:p>
    <w:p w14:paraId="1BCA78EE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Opravné systémy, opravné prostriedky a ich druhy.</w:t>
      </w:r>
    </w:p>
    <w:p w14:paraId="418E0D3D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Odvolanie a jeho prípustnosť.</w:t>
      </w:r>
    </w:p>
    <w:p w14:paraId="019EC1A5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lastRenderedPageBreak/>
        <w:t xml:space="preserve"> Konanie a rozhodnutie o odvolaní.</w:t>
      </w:r>
    </w:p>
    <w:p w14:paraId="42777A4F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Žaloba na obnovu konania a jej prípustnosť.</w:t>
      </w:r>
    </w:p>
    <w:p w14:paraId="7C9BF859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Konanie a rozhodnutie o žalobe na obnovu konania.</w:t>
      </w:r>
    </w:p>
    <w:p w14:paraId="069356DC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Dovolanie a jeho prípustnosť.</w:t>
      </w:r>
    </w:p>
    <w:p w14:paraId="5D77F862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Konanie a rozhodnutie o dovolaní.</w:t>
      </w:r>
    </w:p>
    <w:p w14:paraId="5E80A5DC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Dovolanie generálneho prokurátora.</w:t>
      </w:r>
    </w:p>
    <w:p w14:paraId="0867D619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Osobitosti mimosporových konaní a konanie v prvej inštancii.</w:t>
      </w:r>
    </w:p>
    <w:p w14:paraId="128D2326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Druhy a členenie mimosporových konaní; Opravné prostriedky v mimosporových konaniach.</w:t>
      </w:r>
    </w:p>
    <w:p w14:paraId="4B8A26C5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Konanie o dedičstve.</w:t>
      </w:r>
    </w:p>
    <w:p w14:paraId="0DFE35BA" w14:textId="77777777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Konanie o rozvod manželstva, konanie vo veciach výživného plnoletých osôb.</w:t>
      </w:r>
    </w:p>
    <w:p w14:paraId="6C5FD218" w14:textId="6B3D487A" w:rsidR="00216EA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Konania vo veciach starostlivosti súdu o maloletých.</w:t>
      </w:r>
      <w:r w:rsidR="008331CC">
        <w:rPr>
          <w:rFonts w:ascii="Times New Roman" w:hAnsi="Times New Roman" w:cs="Times New Roman"/>
          <w:sz w:val="24"/>
          <w:szCs w:val="24"/>
        </w:rPr>
        <w:t xml:space="preserve"> </w:t>
      </w:r>
      <w:r w:rsidR="008331CC" w:rsidRPr="00DA27B9">
        <w:rPr>
          <w:rFonts w:ascii="Times New Roman" w:hAnsi="Times New Roman" w:cs="Times New Roman"/>
          <w:sz w:val="24"/>
          <w:szCs w:val="24"/>
        </w:rPr>
        <w:t>Výkon rozhodnutia vo veciach maloletých.</w:t>
      </w:r>
    </w:p>
    <w:p w14:paraId="0E5D487F" w14:textId="23680936" w:rsidR="00575801" w:rsidRPr="00DA27B9" w:rsidRDefault="00216EA1" w:rsidP="00DA27B9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Konania v niektorých statusových veciach fyzických osôb – konanie o spôsobilosti na právne úkony, konanie o prípustnosti </w:t>
      </w:r>
      <w:r w:rsidR="00AE556E" w:rsidRPr="00AE556E">
        <w:rPr>
          <w:rFonts w:ascii="Times New Roman" w:hAnsi="Times New Roman" w:cs="Times New Roman"/>
          <w:sz w:val="24"/>
          <w:szCs w:val="24"/>
        </w:rPr>
        <w:t>prevzatia a držania v zdravotníckom zariadení</w:t>
      </w:r>
      <w:r w:rsidRPr="00DA27B9">
        <w:rPr>
          <w:rFonts w:ascii="Times New Roman" w:hAnsi="Times New Roman" w:cs="Times New Roman"/>
          <w:sz w:val="24"/>
          <w:szCs w:val="24"/>
        </w:rPr>
        <w:t>.</w:t>
      </w:r>
    </w:p>
    <w:p w14:paraId="240B60E7" w14:textId="176A25EA" w:rsidR="00216EA1" w:rsidRPr="0055032E" w:rsidRDefault="00216EA1" w:rsidP="0055032E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032E">
        <w:rPr>
          <w:rFonts w:ascii="Times New Roman" w:hAnsi="Times New Roman" w:cs="Times New Roman"/>
          <w:sz w:val="24"/>
          <w:szCs w:val="24"/>
        </w:rPr>
        <w:t>Rozhodcovské konanie - základná charakteristika (pojem, predmet, funkcia, subjekty, pramene); arbitrabilita, rozhodcovská zmluva</w:t>
      </w:r>
      <w:r w:rsidR="0055032E" w:rsidRPr="0055032E">
        <w:rPr>
          <w:rFonts w:ascii="Times New Roman" w:hAnsi="Times New Roman" w:cs="Times New Roman"/>
          <w:sz w:val="24"/>
          <w:szCs w:val="24"/>
        </w:rPr>
        <w:t xml:space="preserve">, </w:t>
      </w:r>
      <w:r w:rsidR="0055032E">
        <w:rPr>
          <w:rFonts w:ascii="Times New Roman" w:hAnsi="Times New Roman" w:cs="Times New Roman"/>
          <w:sz w:val="24"/>
          <w:szCs w:val="24"/>
        </w:rPr>
        <w:t>r</w:t>
      </w:r>
      <w:r w:rsidRPr="0055032E">
        <w:rPr>
          <w:rFonts w:ascii="Times New Roman" w:hAnsi="Times New Roman" w:cs="Times New Roman"/>
          <w:sz w:val="24"/>
          <w:szCs w:val="24"/>
        </w:rPr>
        <w:t>ozhodcovské rozhodnutia, ich preskúmanie, zrušenie.</w:t>
      </w:r>
    </w:p>
    <w:p w14:paraId="0B8D9DB4" w14:textId="6EF76278" w:rsidR="00575801" w:rsidRPr="00575801" w:rsidRDefault="00216EA1" w:rsidP="00575801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 xml:space="preserve"> Správne súdnictvo – všeobecne, </w:t>
      </w:r>
      <w:r w:rsidR="008331CC">
        <w:rPr>
          <w:rFonts w:ascii="Times New Roman" w:hAnsi="Times New Roman" w:cs="Times New Roman"/>
          <w:sz w:val="24"/>
          <w:szCs w:val="24"/>
        </w:rPr>
        <w:t>druhy konaní v správnom súdnictve</w:t>
      </w:r>
      <w:r w:rsidR="008331CC" w:rsidRPr="00DA27B9">
        <w:rPr>
          <w:rFonts w:ascii="Times New Roman" w:hAnsi="Times New Roman" w:cs="Times New Roman"/>
          <w:sz w:val="24"/>
          <w:szCs w:val="24"/>
        </w:rPr>
        <w:t>;</w:t>
      </w:r>
      <w:r w:rsidR="008331CC">
        <w:rPr>
          <w:rFonts w:ascii="Times New Roman" w:hAnsi="Times New Roman" w:cs="Times New Roman"/>
          <w:sz w:val="24"/>
          <w:szCs w:val="24"/>
        </w:rPr>
        <w:t xml:space="preserve"> </w:t>
      </w:r>
      <w:r w:rsidRPr="00DA27B9">
        <w:rPr>
          <w:rFonts w:ascii="Times New Roman" w:hAnsi="Times New Roman" w:cs="Times New Roman"/>
          <w:sz w:val="24"/>
          <w:szCs w:val="24"/>
        </w:rPr>
        <w:t>Správna žaloba.</w:t>
      </w:r>
    </w:p>
    <w:p w14:paraId="2851951D" w14:textId="5859BEA2" w:rsidR="00575801" w:rsidRDefault="00216EA1" w:rsidP="00575801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7B9">
        <w:rPr>
          <w:rFonts w:ascii="Times New Roman" w:hAnsi="Times New Roman" w:cs="Times New Roman"/>
          <w:sz w:val="24"/>
          <w:szCs w:val="24"/>
        </w:rPr>
        <w:t>Exekučné konanie (pojem, predmet, funkcia, zásady, subjekty), spôsoby vykonávania exekúcie, exekučný titul.</w:t>
      </w:r>
    </w:p>
    <w:p w14:paraId="3C66AF00" w14:textId="2AD12B87" w:rsidR="00575801" w:rsidRPr="00575801" w:rsidRDefault="00216EA1" w:rsidP="00575801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801">
        <w:rPr>
          <w:rFonts w:ascii="Times New Roman" w:hAnsi="Times New Roman" w:cs="Times New Roman"/>
          <w:sz w:val="24"/>
          <w:szCs w:val="24"/>
        </w:rPr>
        <w:t>Procesný postup v exekučnom konaní</w:t>
      </w:r>
      <w:r w:rsidR="00B86F73" w:rsidRPr="00575801">
        <w:rPr>
          <w:rFonts w:ascii="Times New Roman" w:hAnsi="Times New Roman" w:cs="Times New Roman"/>
          <w:sz w:val="24"/>
          <w:szCs w:val="24"/>
        </w:rPr>
        <w:t>, o</w:t>
      </w:r>
      <w:r w:rsidRPr="00575801">
        <w:rPr>
          <w:rFonts w:ascii="Times New Roman" w:hAnsi="Times New Roman" w:cs="Times New Roman"/>
          <w:sz w:val="24"/>
          <w:szCs w:val="24"/>
        </w:rPr>
        <w:t>dklad a zastavenie exekúcie.</w:t>
      </w:r>
    </w:p>
    <w:p w14:paraId="5E67DE88" w14:textId="0457B515" w:rsidR="00575801" w:rsidRPr="00575801" w:rsidRDefault="00575801" w:rsidP="00575801">
      <w:pPr>
        <w:pStyle w:val="Odsekzoznamu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801">
        <w:rPr>
          <w:rFonts w:ascii="Times New Roman" w:hAnsi="Times New Roman" w:cs="Times New Roman"/>
          <w:sz w:val="24"/>
          <w:szCs w:val="24"/>
        </w:rPr>
        <w:t>Exekúcia zrážkami zo mzdy a z iných príjmov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D00793" w14:textId="2E5E9AAC" w:rsidR="00575801" w:rsidRDefault="00575801" w:rsidP="00575801">
      <w:pPr>
        <w:pStyle w:val="Odsekzoznamu"/>
        <w:tabs>
          <w:tab w:val="left" w:pos="0"/>
          <w:tab w:val="left" w:pos="142"/>
          <w:tab w:val="left" w:pos="284"/>
        </w:tabs>
        <w:spacing w:after="12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137. Exekúcia predajom nehnuteľností.</w:t>
      </w:r>
    </w:p>
    <w:p w14:paraId="5D05DB29" w14:textId="77777777" w:rsidR="00216EA1" w:rsidRPr="00DA27B9" w:rsidRDefault="00216EA1" w:rsidP="00575801">
      <w:pPr>
        <w:pStyle w:val="Odsekzoznamu"/>
        <w:tabs>
          <w:tab w:val="left" w:pos="0"/>
          <w:tab w:val="left" w:pos="142"/>
          <w:tab w:val="left" w:pos="284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216EA1" w:rsidRPr="00DA27B9" w:rsidSect="00566BEE"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2C67"/>
    <w:multiLevelType w:val="hybridMultilevel"/>
    <w:tmpl w:val="E57685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80A8A"/>
    <w:multiLevelType w:val="hybridMultilevel"/>
    <w:tmpl w:val="B764E610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AC3F47"/>
    <w:multiLevelType w:val="hybridMultilevel"/>
    <w:tmpl w:val="04C68454"/>
    <w:lvl w:ilvl="0" w:tplc="80443192">
      <w:start w:val="101"/>
      <w:numFmt w:val="decimal"/>
      <w:lvlText w:val="%1."/>
      <w:lvlJc w:val="left"/>
      <w:pPr>
        <w:tabs>
          <w:tab w:val="num" w:pos="121"/>
        </w:tabs>
        <w:ind w:left="121" w:hanging="4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B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B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 w15:restartNumberingAfterBreak="0">
    <w:nsid w:val="404E3ED1"/>
    <w:multiLevelType w:val="hybridMultilevel"/>
    <w:tmpl w:val="1C486A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656812">
    <w:abstractNumId w:val="3"/>
  </w:num>
  <w:num w:numId="2" w16cid:durableId="1213544704">
    <w:abstractNumId w:val="1"/>
  </w:num>
  <w:num w:numId="3" w16cid:durableId="1257404223">
    <w:abstractNumId w:val="0"/>
  </w:num>
  <w:num w:numId="4" w16cid:durableId="365254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97D"/>
    <w:rsid w:val="00014398"/>
    <w:rsid w:val="001753EF"/>
    <w:rsid w:val="001D4DBA"/>
    <w:rsid w:val="00201DDC"/>
    <w:rsid w:val="00216EA1"/>
    <w:rsid w:val="00281B10"/>
    <w:rsid w:val="002C1D1F"/>
    <w:rsid w:val="002D1A33"/>
    <w:rsid w:val="0038448B"/>
    <w:rsid w:val="003F4EE5"/>
    <w:rsid w:val="00422B16"/>
    <w:rsid w:val="00440FCD"/>
    <w:rsid w:val="004D1C83"/>
    <w:rsid w:val="0050563D"/>
    <w:rsid w:val="0055032E"/>
    <w:rsid w:val="00566BEE"/>
    <w:rsid w:val="00575801"/>
    <w:rsid w:val="005B1DA3"/>
    <w:rsid w:val="005D055A"/>
    <w:rsid w:val="005E10C7"/>
    <w:rsid w:val="0068497D"/>
    <w:rsid w:val="00757F90"/>
    <w:rsid w:val="00791599"/>
    <w:rsid w:val="008331CC"/>
    <w:rsid w:val="00844B37"/>
    <w:rsid w:val="00902A83"/>
    <w:rsid w:val="00963309"/>
    <w:rsid w:val="00A21320"/>
    <w:rsid w:val="00A44E4A"/>
    <w:rsid w:val="00A73E1A"/>
    <w:rsid w:val="00A940A4"/>
    <w:rsid w:val="00AE556E"/>
    <w:rsid w:val="00B02E74"/>
    <w:rsid w:val="00B16237"/>
    <w:rsid w:val="00B86F73"/>
    <w:rsid w:val="00BD200B"/>
    <w:rsid w:val="00BE67E9"/>
    <w:rsid w:val="00C6188F"/>
    <w:rsid w:val="00CA3B96"/>
    <w:rsid w:val="00CB5F82"/>
    <w:rsid w:val="00CC0B1E"/>
    <w:rsid w:val="00D27C24"/>
    <w:rsid w:val="00D42B6F"/>
    <w:rsid w:val="00DA27B9"/>
    <w:rsid w:val="00EA352B"/>
    <w:rsid w:val="00EA71EE"/>
    <w:rsid w:val="00EB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43802"/>
  <w15:docId w15:val="{40CECDA7-921D-4474-B6E7-4DB8908F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4E4A"/>
    <w:pPr>
      <w:spacing w:after="160" w:line="259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68497D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4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2B6F"/>
    <w:rPr>
      <w:rFonts w:ascii="Tahoma" w:hAnsi="Tahoma" w:cs="Tahoma"/>
      <w:sz w:val="16"/>
      <w:szCs w:val="16"/>
      <w:lang w:eastAsia="en-US"/>
    </w:rPr>
  </w:style>
  <w:style w:type="paragraph" w:styleId="Revzia">
    <w:name w:val="Revision"/>
    <w:hidden/>
    <w:uiPriority w:val="99"/>
    <w:semiHidden/>
    <w:rsid w:val="005D055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024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8026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1232</Words>
  <Characters>7337</Characters>
  <Application>Microsoft Office Word</Application>
  <DocSecurity>0</DocSecurity>
  <Lines>431</Lines>
  <Paragraphs>259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Otázky na štátnu skúšku z Občianskeho práva</vt:lpstr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Otázky na štátnu skúšku z Občianskeho práva</dc:title>
  <dc:creator>PF</dc:creator>
  <cp:lastModifiedBy>Jurčová Monika</cp:lastModifiedBy>
  <cp:revision>2</cp:revision>
  <cp:lastPrinted>2018-03-16T13:47:00Z</cp:lastPrinted>
  <dcterms:created xsi:type="dcterms:W3CDTF">2024-09-10T09:38:00Z</dcterms:created>
  <dcterms:modified xsi:type="dcterms:W3CDTF">2024-09-10T09:38:00Z</dcterms:modified>
</cp:coreProperties>
</file>